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upn1"/>
        <w:spacing w:lineRule="auto" w:line="240" w:before="0" w:after="0"/>
        <w:rPr/>
      </w:pPr>
      <w:r>
        <w:rPr/>
      </w:r>
    </w:p>
    <w:p>
      <w:pPr>
        <w:pStyle w:val="Normal"/>
        <w:ind w:left="3969" w:right="0" w:hanging="0"/>
        <w:rPr/>
      </w:pPr>
      <w:r>
        <w:rPr/>
      </w:r>
    </w:p>
    <w:p>
      <w:pPr>
        <w:pStyle w:val="Normal"/>
        <w:spacing w:lineRule="auto" w:line="192"/>
        <w:ind w:left="4253" w:right="0" w:hanging="0"/>
        <w:rPr>
          <w:rFonts w:ascii="Candara" w:hAnsi="Candara" w:eastAsia="Times New Roman" w:cs="Candara"/>
          <w:b/>
          <w:b/>
          <w:smallCaps/>
          <w:shadow/>
          <w:color w:val="666699"/>
          <w:sz w:val="96"/>
          <w:szCs w:val="96"/>
          <w:lang w:val="sk-SK" w:bidi="ar-SA"/>
        </w:rPr>
      </w:pPr>
      <w:r>
        <w:rPr>
          <w:rFonts w:eastAsia="Times New Roman" w:cs="Candara" w:ascii="Candara" w:hAnsi="Candara"/>
          <w:b/>
          <w:smallCaps/>
          <w:shadow/>
          <w:color w:val="666699"/>
          <w:sz w:val="96"/>
          <w:szCs w:val="96"/>
          <w:lang w:val="sk-SK" w:bidi="ar-SA"/>
        </w:rPr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580390</wp:posOffset>
            </wp:positionH>
            <wp:positionV relativeFrom="paragraph">
              <wp:posOffset>237490</wp:posOffset>
            </wp:positionV>
            <wp:extent cx="1878965" cy="2171700"/>
            <wp:effectExtent l="0" t="0" r="0" b="0"/>
            <wp:wrapSquare wrapText="bothSides"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13" r="-15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192"/>
        <w:ind w:left="4253" w:right="0" w:hanging="0"/>
        <w:rPr>
          <w:rFonts w:ascii="Candara" w:hAnsi="Candara" w:eastAsia="Times New Roman" w:cs="Candara"/>
          <w:b/>
          <w:b/>
          <w:smallCaps/>
          <w:shadow/>
          <w:color w:val="666699"/>
          <w:sz w:val="96"/>
          <w:szCs w:val="96"/>
          <w:lang w:val="sk-SK" w:bidi="ar-SA"/>
        </w:rPr>
      </w:pPr>
      <w:r>
        <w:rPr>
          <w:rFonts w:eastAsia="Times New Roman" w:cs="Candara" w:ascii="Candara" w:hAnsi="Candara"/>
          <w:b/>
          <w:smallCaps/>
          <w:shadow/>
          <w:color w:val="666699"/>
          <w:sz w:val="96"/>
          <w:szCs w:val="96"/>
          <w:lang w:val="sk-SK" w:bidi="ar-SA"/>
        </w:rPr>
      </w:r>
    </w:p>
    <w:p>
      <w:pPr>
        <w:pStyle w:val="Normal"/>
        <w:spacing w:lineRule="auto" w:line="192"/>
        <w:ind w:left="4253" w:right="0" w:hanging="0"/>
        <w:rPr>
          <w:rFonts w:ascii="Candara" w:hAnsi="Candara" w:eastAsia="Times New Roman" w:cs="Candara"/>
          <w:b/>
          <w:b/>
          <w:smallCaps/>
          <w:shadow/>
          <w:color w:val="666699"/>
          <w:sz w:val="96"/>
          <w:szCs w:val="96"/>
          <w:lang w:val="sk-SK" w:bidi="ar-SA"/>
        </w:rPr>
      </w:pPr>
      <w:r>
        <w:rPr>
          <w:rFonts w:eastAsia="Times New Roman" w:cs="Candara" w:ascii="Candara" w:hAnsi="Candara"/>
          <w:b/>
          <w:smallCaps/>
          <w:shadow/>
          <w:color w:val="666699"/>
          <w:sz w:val="96"/>
          <w:szCs w:val="96"/>
          <w:lang w:val="sk-SK" w:bidi="ar-SA"/>
        </w:rPr>
      </w:r>
    </w:p>
    <w:p>
      <w:pPr>
        <w:pStyle w:val="Normal"/>
        <w:ind w:left="3969" w:right="0" w:hanging="0"/>
        <w:jc w:val="left"/>
        <w:rPr>
          <w:rFonts w:ascii="Antique Olive" w:hAnsi="Antique Olive" w:eastAsia="Eurostile-BlackCE" w:cs="Eurostile-BlackCE"/>
          <w:b w:val="false"/>
          <w:b w:val="false"/>
          <w:bCs w:val="false"/>
          <w:outline w:val="false"/>
          <w:shadow w:val="false"/>
          <w:color w:val="333333"/>
          <w:spacing w:val="0"/>
          <w:sz w:val="40"/>
          <w:szCs w:val="40"/>
        </w:rPr>
      </w:pPr>
      <w:r>
        <w:rPr>
          <w:rFonts w:eastAsia="Eurostile-BlackCE" w:cs="Eurostile-BlackCE" w:ascii="Antique Olive" w:hAnsi="Antique Olive"/>
          <w:b w:val="false"/>
          <w:bCs w:val="false"/>
          <w:outline w:val="false"/>
          <w:shadow w:val="false"/>
          <w:color w:val="333333"/>
          <w:spacing w:val="0"/>
          <w:sz w:val="40"/>
          <w:szCs w:val="40"/>
        </w:rPr>
      </w:r>
    </w:p>
    <w:p>
      <w:pPr>
        <w:pStyle w:val="Normal"/>
        <w:ind w:left="3969" w:right="0" w:hanging="0"/>
        <w:jc w:val="left"/>
        <w:rPr>
          <w:rFonts w:ascii="Antique Olive" w:hAnsi="Antique Olive" w:eastAsia="Eurostile-BlackCE" w:cs="Eurostile-BlackCE"/>
          <w:b w:val="false"/>
          <w:b w:val="false"/>
          <w:bCs w:val="false"/>
          <w:outline w:val="false"/>
          <w:shadow w:val="false"/>
          <w:color w:val="333333"/>
          <w:spacing w:val="0"/>
          <w:sz w:val="64"/>
          <w:szCs w:val="72"/>
        </w:rPr>
      </w:pPr>
      <w:r>
        <w:rPr>
          <w:rFonts w:eastAsia="Eurostile-BlackCE" w:cs="Eurostile-BlackCE" w:ascii="Antique Olive" w:hAnsi="Antique Olive"/>
          <w:b w:val="false"/>
          <w:bCs w:val="false"/>
          <w:outline w:val="false"/>
          <w:shadow w:val="false"/>
          <w:color w:val="333333"/>
          <w:spacing w:val="0"/>
          <w:sz w:val="64"/>
          <w:szCs w:val="72"/>
        </w:rPr>
        <w:t xml:space="preserve">ÚZEMNÝ PLÁN </w:t>
      </w:r>
    </w:p>
    <w:p>
      <w:pPr>
        <w:pStyle w:val="Normal"/>
        <w:ind w:left="3969" w:right="0" w:hanging="0"/>
        <w:jc w:val="left"/>
        <w:rPr>
          <w:rFonts w:ascii="Antique Olive" w:hAnsi="Antique Olive" w:eastAsia="Eurostile-BlackCE" w:cs="Eurostile-BlackCE"/>
          <w:b w:val="false"/>
          <w:b w:val="false"/>
          <w:bCs w:val="false"/>
          <w:outline w:val="false"/>
          <w:shadow w:val="false"/>
          <w:color w:val="333333"/>
          <w:spacing w:val="0"/>
          <w:sz w:val="64"/>
          <w:szCs w:val="72"/>
        </w:rPr>
      </w:pPr>
      <w:r>
        <w:rPr>
          <w:rFonts w:eastAsia="Eurostile-BlackCE" w:cs="Eurostile-BlackCE" w:ascii="Antique Olive" w:hAnsi="Antique Olive"/>
          <w:b w:val="false"/>
          <w:bCs w:val="false"/>
          <w:outline w:val="false"/>
          <w:shadow w:val="false"/>
          <w:color w:val="333333"/>
          <w:spacing w:val="0"/>
          <w:sz w:val="64"/>
          <w:szCs w:val="72"/>
        </w:rPr>
        <w:t>OBCE</w:t>
      </w:r>
    </w:p>
    <w:p>
      <w:pPr>
        <w:pStyle w:val="Normal"/>
        <w:ind w:left="3969" w:right="0" w:hanging="0"/>
        <w:jc w:val="left"/>
        <w:rPr/>
      </w:pPr>
      <w:r>
        <w:rPr>
          <w:rFonts w:eastAsia="Eurostile-BlackCE" w:cs="Antique Olive" w:ascii="Antique Olive" w:hAnsi="Antique Olive"/>
          <w:b/>
          <w:bCs/>
          <w:outline w:val="false"/>
          <w:shadow w:val="false"/>
          <w:color w:val="006600"/>
          <w:spacing w:val="0"/>
          <w:sz w:val="102"/>
          <w:szCs w:val="102"/>
          <w:lang w:val="sk-SK" w:eastAsia="zh-CN" w:bidi="ar-SA"/>
        </w:rPr>
        <w:t>LÚČNICA</w:t>
      </w:r>
      <w:r>
        <w:rPr>
          <w:rFonts w:eastAsia="Eurostile-BlackCE" w:cs="Antique Olive" w:ascii="Antique Olive" w:hAnsi="Antique Olive"/>
          <w:b/>
          <w:bCs/>
          <w:outline w:val="false"/>
          <w:shadow w:val="false"/>
          <w:color w:val="006600"/>
          <w:spacing w:val="0"/>
          <w:sz w:val="108"/>
          <w:szCs w:val="108"/>
          <w:lang w:val="sk-SK" w:eastAsia="zh-CN" w:bidi="ar-SA"/>
        </w:rPr>
        <w:t xml:space="preserve"> </w:t>
      </w:r>
      <w:r>
        <w:rPr>
          <w:rFonts w:eastAsia="Eurostile-BlackCE" w:cs="Antique Olive" w:ascii="Antique Olive" w:hAnsi="Antique Olive"/>
          <w:b/>
          <w:bCs/>
          <w:outline w:val="false"/>
          <w:shadow w:val="false"/>
          <w:color w:val="006600"/>
          <w:spacing w:val="0"/>
          <w:sz w:val="62"/>
          <w:szCs w:val="62"/>
          <w:lang w:val="sk-SK" w:eastAsia="zh-CN" w:bidi="ar-SA"/>
        </w:rPr>
        <w:t>NAD ŽITAVOU</w:t>
      </w:r>
      <w:r>
        <w:rPr>
          <w:rFonts w:eastAsia="Eurostile-BlackCE" w:cs="Antique Olive" w:ascii="Antique Olive" w:hAnsi="Antique Olive"/>
          <w:b/>
          <w:bCs/>
          <w:outline w:val="false"/>
          <w:shadow w:val="false"/>
          <w:color w:val="006600"/>
          <w:spacing w:val="0"/>
          <w:sz w:val="108"/>
          <w:szCs w:val="108"/>
          <w:lang w:val="sk-SK" w:eastAsia="zh-CN" w:bidi="ar-SA"/>
        </w:rPr>
        <w:t xml:space="preserve"> </w:t>
      </w:r>
    </w:p>
    <w:p>
      <w:pPr>
        <w:pStyle w:val="Normal"/>
        <w:spacing w:lineRule="auto" w:line="192"/>
        <w:ind w:left="3969" w:right="0" w:hanging="0"/>
        <w:jc w:val="left"/>
        <w:rPr>
          <w:rFonts w:ascii="Antique Olive" w:hAnsi="Antique Olive" w:eastAsia="Eurostile-BlackCE" w:cs="Antique Olive"/>
          <w:b/>
          <w:b/>
          <w:bCs w:val="false"/>
          <w:outline w:val="false"/>
          <w:shadow w:val="false"/>
          <w:color w:val="808080"/>
          <w:spacing w:val="0"/>
          <w:sz w:val="36"/>
          <w:szCs w:val="36"/>
          <w:lang w:val="sk-SK" w:eastAsia="zh-CN" w:bidi="ar-SA"/>
        </w:rPr>
      </w:pPr>
      <w:r>
        <w:rPr>
          <w:rFonts w:eastAsia="Eurostile-BlackCE" w:cs="Antique Olive" w:ascii="Antique Olive" w:hAnsi="Antique Olive"/>
          <w:b/>
          <w:bCs w:val="false"/>
          <w:outline w:val="false"/>
          <w:shadow w:val="false"/>
          <w:color w:val="808080"/>
          <w:spacing w:val="0"/>
          <w:sz w:val="36"/>
          <w:szCs w:val="36"/>
          <w:lang w:val="sk-SK" w:eastAsia="zh-CN" w:bidi="ar-SA"/>
        </w:rPr>
      </w:r>
    </w:p>
    <w:p>
      <w:pPr>
        <w:pStyle w:val="Normal"/>
        <w:spacing w:lineRule="auto" w:line="240" w:before="283" w:after="0"/>
        <w:ind w:left="3969" w:right="0" w:hanging="0"/>
        <w:jc w:val="left"/>
        <w:rPr/>
      </w:pPr>
      <w:r>
        <w:rPr>
          <w:rFonts w:eastAsia="Eurostile-BlackCE" w:cs="Eurostile-BlackCE" w:ascii="Antique Olive" w:hAnsi="Antique Olive"/>
          <w:b w:val="false"/>
          <w:bCs w:val="false"/>
          <w:outline w:val="false"/>
          <w:shadow w:val="false"/>
          <w:color w:val="333333"/>
          <w:spacing w:val="0"/>
          <w:sz w:val="38"/>
          <w:szCs w:val="38"/>
          <w:lang w:val="sk-SK" w:eastAsia="zh-CN" w:bidi="ar-SA"/>
        </w:rPr>
        <w:t>Vyhodnotenie dôsledkov stavebných zámerov a iných návrhov na poľnohospodárskej pôde</w:t>
      </w:r>
      <w:r>
        <w:rPr>
          <w:rFonts w:eastAsia="Eurostile-BlackCE" w:cs="Candara" w:ascii="Candara" w:hAnsi="Candara"/>
          <w:b/>
          <w:bCs/>
          <w:outline w:val="false"/>
          <w:shadow w:val="false"/>
          <w:color w:val="808080"/>
          <w:spacing w:val="0"/>
          <w:sz w:val="38"/>
          <w:szCs w:val="38"/>
          <w:lang w:val="sk-SK" w:eastAsia="zh-CN" w:bidi="ar-SA"/>
        </w:rPr>
        <w:t xml:space="preserve"> </w:t>
      </w:r>
    </w:p>
    <w:p>
      <w:pPr>
        <w:pStyle w:val="Normal"/>
        <w:spacing w:lineRule="auto" w:line="240" w:before="283" w:after="0"/>
        <w:ind w:left="3969" w:right="0" w:hanging="0"/>
        <w:jc w:val="left"/>
        <w:rPr>
          <w:rFonts w:ascii="Candara" w:hAnsi="Candara" w:eastAsia="Eurostile-BlackCE" w:cs="Candara"/>
          <w:b/>
          <w:b/>
          <w:bCs/>
          <w:outline w:val="false"/>
          <w:shadow w:val="false"/>
          <w:color w:val="808080"/>
          <w:spacing w:val="0"/>
          <w:sz w:val="38"/>
          <w:szCs w:val="38"/>
          <w:lang w:val="sk-SK" w:eastAsia="zh-CN" w:bidi="ar-SA"/>
        </w:rPr>
      </w:pPr>
      <w:r>
        <w:rPr>
          <w:rFonts w:eastAsia="Eurostile-BlackCE" w:cs="Candara" w:ascii="Candara" w:hAnsi="Candara"/>
          <w:b/>
          <w:bCs/>
          <w:outline w:val="false"/>
          <w:shadow w:val="false"/>
          <w:color w:val="808080"/>
          <w:spacing w:val="0"/>
          <w:sz w:val="38"/>
          <w:szCs w:val="38"/>
          <w:lang w:val="sk-SK" w:eastAsia="zh-CN" w:bidi="ar-SA"/>
        </w:rPr>
      </w:r>
      <w:r>
        <w:br w:type="page"/>
      </w:r>
    </w:p>
    <w:p>
      <w:pPr>
        <w:pStyle w:val="Nadupn1"/>
        <w:rPr/>
      </w:pPr>
      <w:r>
        <w:rPr/>
        <w:t xml:space="preserve">Vyhodnotenie dôsledkov stavebných zámerov a iných návrhov na poľnohospodárskej pôde v k.ú. </w:t>
      </w:r>
      <w:r>
        <w:rPr>
          <w:rFonts w:eastAsia="Times New Roman" w:cs="Buckwheat"/>
          <w:b/>
          <w:bCs/>
          <w:shadow w:val="false"/>
          <w:color w:val="003300"/>
          <w:kern w:val="0"/>
          <w:sz w:val="26"/>
          <w:szCs w:val="26"/>
          <w:lang w:val="sk-SK" w:eastAsia="zh-CN" w:bidi="ar-SA"/>
        </w:rPr>
        <w:t>Vajka nad Žitavou, k.ú. Martinová</w:t>
      </w:r>
      <w:r>
        <w:rPr/>
        <w:t xml:space="preserve">, navrhovaných v rámci </w:t>
      </w:r>
      <w:r>
        <w:rPr>
          <w:rFonts w:eastAsia="Times New Roman" w:cs="Buckwheat"/>
          <w:b/>
          <w:bCs/>
          <w:shadow w:val="false"/>
          <w:color w:val="003300"/>
          <w:sz w:val="26"/>
          <w:szCs w:val="26"/>
          <w:lang w:val="sk-SK" w:eastAsia="zh-CN" w:bidi="ar-SA"/>
        </w:rPr>
        <w:t>územného plánu obce</w:t>
      </w:r>
      <w:r>
        <w:rPr>
          <w:rFonts w:eastAsia="Times New Roman" w:cs="Buckwheat"/>
          <w:b/>
          <w:bCs/>
          <w:shadow w:val="false"/>
          <w:color w:val="003300"/>
          <w:kern w:val="0"/>
          <w:sz w:val="26"/>
          <w:szCs w:val="26"/>
          <w:lang w:val="sk-SK" w:eastAsia="zh-CN" w:bidi="ar-SA"/>
        </w:rPr>
        <w:t xml:space="preserve"> </w:t>
      </w:r>
      <w:r>
        <w:rPr>
          <w:rFonts w:eastAsia="Times New Roman" w:cs="Buckwheat"/>
          <w:b/>
          <w:bCs/>
          <w:shadow w:val="false"/>
          <w:color w:val="003300"/>
          <w:kern w:val="0"/>
          <w:sz w:val="26"/>
          <w:szCs w:val="26"/>
          <w:lang w:val="sk-SK" w:eastAsia="zh-CN" w:bidi="ar-SA"/>
        </w:rPr>
        <w:t>Lúčnica</w:t>
      </w:r>
      <w:r>
        <w:rPr>
          <w:rFonts w:eastAsia="Times New Roman" w:cs="Buckwheat"/>
          <w:b/>
          <w:bCs/>
          <w:shadow w:val="false"/>
          <w:color w:val="003300"/>
          <w:kern w:val="0"/>
          <w:sz w:val="26"/>
          <w:szCs w:val="26"/>
          <w:lang w:val="sk-SK" w:eastAsia="zh-CN" w:bidi="ar-SA"/>
        </w:rPr>
        <w:t xml:space="preserve"> nad Žitavou</w:t>
      </w:r>
    </w:p>
    <w:p>
      <w:pPr>
        <w:pStyle w:val="Odstpro"/>
        <w:ind w:left="0" w:right="0" w:hanging="0"/>
        <w:rPr>
          <w:rFonts w:ascii="Buckwheat" w:hAnsi="Buckwheat" w:cs="Buckwheat"/>
          <w:b/>
          <w:b/>
          <w:bCs/>
          <w:shadow/>
          <w:color w:val="auto"/>
          <w:sz w:val="28"/>
          <w:szCs w:val="28"/>
        </w:rPr>
      </w:pPr>
      <w:r>
        <w:rPr>
          <w:rFonts w:cs="Buckwheat" w:ascii="Buckwheat" w:hAnsi="Buckwheat"/>
          <w:b/>
          <w:bCs/>
          <w:shadow/>
          <w:color w:val="auto"/>
          <w:sz w:val="28"/>
          <w:szCs w:val="28"/>
        </w:rPr>
      </w:r>
    </w:p>
    <w:p>
      <w:pPr>
        <w:pStyle w:val="Nadreg"/>
        <w:ind w:left="0" w:right="0" w:hanging="0"/>
        <w:rPr>
          <w:rFonts w:ascii="Buckwheat" w:hAnsi="Buckwheat" w:cs="Buckwheat"/>
          <w:b/>
          <w:b/>
          <w:bCs/>
          <w:shadow/>
          <w:color w:val="auto"/>
          <w:sz w:val="28"/>
          <w:szCs w:val="28"/>
        </w:rPr>
      </w:pPr>
      <w:r>
        <w:rPr>
          <w:rFonts w:cs="Buckwheat" w:ascii="Buckwheat" w:hAnsi="Buckwheat"/>
          <w:b/>
          <w:bCs/>
          <w:shadow/>
          <w:color w:val="auto"/>
          <w:sz w:val="28"/>
          <w:szCs w:val="28"/>
        </w:rPr>
      </w:r>
    </w:p>
    <w:p>
      <w:pPr>
        <w:pStyle w:val="Odstpro"/>
        <w:rPr>
          <w:rFonts w:ascii="Buckwheat" w:hAnsi="Buckwheat" w:cs="Buckwheat"/>
          <w:b/>
          <w:b/>
          <w:bCs/>
          <w:shadow/>
          <w:color w:val="auto"/>
          <w:sz w:val="28"/>
          <w:szCs w:val="28"/>
        </w:rPr>
      </w:pPr>
      <w:r>
        <w:rPr>
          <w:rFonts w:cs="Buckwheat" w:ascii="Buckwheat" w:hAnsi="Buckwheat"/>
          <w:b/>
          <w:bCs/>
          <w:shadow/>
          <w:color w:val="auto"/>
          <w:sz w:val="28"/>
          <w:szCs w:val="28"/>
        </w:rPr>
      </w:r>
    </w:p>
    <w:p>
      <w:pPr>
        <w:pStyle w:val="Odstpro"/>
        <w:rPr>
          <w:b/>
          <w:b/>
          <w:bCs/>
        </w:rPr>
      </w:pPr>
      <w:r>
        <w:rPr>
          <w:b/>
          <w:bCs/>
        </w:rPr>
        <w:t xml:space="preserve">Spracovateľ dokumentácie: </w:t>
      </w:r>
    </w:p>
    <w:p>
      <w:pPr>
        <w:pStyle w:val="Odstpro"/>
        <w:rPr/>
      </w:pPr>
      <w:r>
        <w:rPr/>
        <w:t>doc. Ing. arch. Jaroslav Coplák, PhD.</w:t>
      </w:r>
    </w:p>
    <w:p>
      <w:pPr>
        <w:pStyle w:val="Nadreg"/>
        <w:ind w:left="0" w:right="0" w:hanging="0"/>
        <w:rPr/>
      </w:pPr>
      <w:r>
        <w:rPr/>
        <w:t>Spracovateľ časti:</w:t>
      </w:r>
    </w:p>
    <w:p>
      <w:pPr>
        <w:pStyle w:val="Odstpro"/>
        <w:rPr/>
      </w:pPr>
      <w:r>
        <w:rPr/>
        <w:t>doc. Ing. arch. Jaroslav Coplák, PhD.</w:t>
      </w:r>
    </w:p>
    <w:p>
      <w:pPr>
        <w:pStyle w:val="Odstpro"/>
        <w:rPr/>
      </w:pPr>
      <w:r>
        <w:rPr/>
        <w:t>Ing. Marta Copláková</w:t>
      </w:r>
    </w:p>
    <w:p>
      <w:pPr>
        <w:pStyle w:val="Obrnadpro"/>
        <w:rPr/>
      </w:pPr>
      <w:r>
        <w:rPr/>
      </w:r>
    </w:p>
    <w:p>
      <w:pPr>
        <w:pStyle w:val="Obrnadpro"/>
        <w:rPr/>
      </w:pPr>
      <w:r>
        <w:rPr/>
        <w:t>Úvod</w:t>
      </w:r>
    </w:p>
    <w:p>
      <w:pPr>
        <w:pStyle w:val="Odstpro"/>
        <w:rPr/>
      </w:pPr>
      <w:r>
        <w:rPr/>
        <w:t>Vyhodnotenie dôsledkov stavebných zámerov a iných návrhov na poľnohospodárskej pôde je spracované ako súčasť návrhu územnoplánovacej dokumentácie, v súlade so zákonom č. 220/2004 Z. z. o ochrane a využívaní poľnohospodárskej pôdy v znení zákona č. 219/2008 Z. z. v znení neskorších predpisov a jeho vykonávacou vyhláškou č. 508/2004 Z. z. V súlade s metodickým usmernením MP SR obsahuje časti:</w:t>
      </w:r>
    </w:p>
    <w:p>
      <w:pPr>
        <w:pStyle w:val="Odrpro1"/>
        <w:numPr>
          <w:ilvl w:val="0"/>
          <w:numId w:val="2"/>
        </w:numPr>
        <w:rPr/>
      </w:pPr>
      <w:r>
        <w:rPr/>
        <w:t>textová časť</w:t>
      </w:r>
    </w:p>
    <w:p>
      <w:pPr>
        <w:pStyle w:val="Odrpro1"/>
        <w:numPr>
          <w:ilvl w:val="0"/>
          <w:numId w:val="2"/>
        </w:numPr>
        <w:rPr/>
      </w:pPr>
      <w:r>
        <w:rPr/>
        <w:t>tabuľková časť – vypracovaná podľa vzoru tabuľky v prílohe č. 4 uvedenej vyhlášky (je súčasťou textovej časti)</w:t>
      </w:r>
    </w:p>
    <w:p>
      <w:pPr>
        <w:pStyle w:val="Odrpro1"/>
        <w:numPr>
          <w:ilvl w:val="0"/>
          <w:numId w:val="2"/>
        </w:numPr>
        <w:rPr/>
      </w:pPr>
      <w:r>
        <w:rPr/>
        <w:t>mapová časť – výkres perspektívneho použitia poľnohospodárskej pôdy na nepoľnohospodárske účely, ako aj komplexný výkres priestorového usporiadania a funkčného využívania územia, výkres širších vzťahov</w:t>
      </w:r>
    </w:p>
    <w:p>
      <w:pPr>
        <w:pStyle w:val="Odstpro"/>
        <w:rPr/>
      </w:pPr>
      <w:r>
        <w:rPr/>
        <w:t>Obsah textovej a tabuľkovej časti je prevzatý z uvedenej územnoplánovacej dokumentácie, z kapitoly 2.16 Vyhodnotenie dôsledkov stavebných zámerov a iných návrhov na poľnohospodárskej pôde a lesných pozemkoch.</w:t>
      </w:r>
    </w:p>
    <w:p>
      <w:pPr>
        <w:pStyle w:val="Odstpro"/>
        <w:rPr/>
      </w:pPr>
      <w:r>
        <w:rPr/>
        <w:t>Nové lokality pre výstavbu a plochy, pre ktoré sa žiada súhlas na budúce možné použitie poľnohospodárskej pôdy na stavebné a iné zámery, sú vyznačené v mapovej časti. Vo výkrese je tiež farebne vyznačený druh dotknutého pozemku na poľnohospodárskej pôde podľa registra C katastra nehnuteľností, hranice a kódy BPEJ.</w:t>
      </w:r>
    </w:p>
    <w:p>
      <w:pPr>
        <w:pStyle w:val="Obrnadpro"/>
        <w:rPr/>
      </w:pPr>
      <w:r>
        <w:rPr/>
      </w:r>
      <w:r>
        <w:br w:type="page"/>
      </w:r>
    </w:p>
    <w:p>
      <w:pPr>
        <w:pStyle w:val="Obrnadpro"/>
        <w:rPr/>
      </w:pPr>
      <w:r>
        <w:rPr/>
        <w:t>Charakteristika pôdnych pomerov v dotknutom území</w:t>
      </w:r>
    </w:p>
    <w:p>
      <w:pPr>
        <w:pStyle w:val="Odstpro"/>
        <w:ind w:left="0" w:right="0" w:hanging="0"/>
        <w:rPr/>
      </w:pPr>
      <w:r>
        <w:rPr/>
        <w:t>Poľnohospodárska pôda má rozhodujúci podiel na celkovej výmere riešeného územia (až 89,3%).</w:t>
      </w:r>
    </w:p>
    <w:p>
      <w:pPr>
        <w:pStyle w:val="Odstpro"/>
        <w:ind w:left="0" w:right="0" w:hanging="0"/>
        <w:rPr/>
      </w:pPr>
      <w:r>
        <w:rPr/>
        <w:t>Z hľadiska pôdnych typov sú v riešenom území vyvinuté dva typy pôd. Na pahorkatine sa vyvinuli hnedozeme, na nive Žitavy sú čiernice (lužné pôdy) a fluvizeme (nivné pôdy). Čiernice a fluvizeme vznikali v podmienkach trvalého zvýšenia vlahy v profile. Matičným substrátom hnedozemí je spraš. Komplexnú informáciu o pôdnych typoch, pôdnych druhoch, pôdotvornom substráte a sklonitosti reliéfu poskytujú bonitované pôdnoekologické jednotky (BPEJ). V riešenom území sa podľa hlavných pôdnych jednotiek vyskytujú (s uvedením kódu hlavnej pôdnej jednotky v rámci BPEJ):</w:t>
      </w:r>
    </w:p>
    <w:p>
      <w:pPr>
        <w:pStyle w:val="Odrpro1"/>
        <w:numPr>
          <w:ilvl w:val="0"/>
          <w:numId w:val="4"/>
        </w:numPr>
        <w:tabs>
          <w:tab w:val="left" w:pos="-3" w:leader="none"/>
          <w:tab w:val="left" w:pos="357" w:leader="none"/>
        </w:tabs>
        <w:rPr>
          <w:rFonts w:ascii="Spectra BT" w:hAnsi="Spectra BT" w:eastAsia="Times New Roman" w:cs="Spectra BT"/>
          <w:color w:val="auto"/>
          <w:sz w:val="22"/>
          <w:szCs w:val="22"/>
          <w:shd w:fill="auto" w:val="clear"/>
          <w:lang w:val="sk-SK" w:bidi="ar-SA"/>
        </w:rPr>
      </w:pPr>
      <w:r>
        <w:rPr>
          <w:rFonts w:eastAsia="Times New Roman" w:cs="Spectra BT"/>
          <w:color w:val="000000"/>
          <w:sz w:val="22"/>
          <w:szCs w:val="22"/>
          <w:shd w:fill="auto" w:val="clear"/>
          <w:lang w:val="sk-SK" w:bidi="ar-SA"/>
        </w:rPr>
        <w:t xml:space="preserve">14 – </w:t>
      </w:r>
      <w:r>
        <w:rPr>
          <w:rFonts w:eastAsia="Times New Roman" w:cs="Spectra BT"/>
          <w:color w:val="000000"/>
          <w:sz w:val="22"/>
          <w:szCs w:val="22"/>
          <w:shd w:fill="auto" w:val="clear"/>
          <w:lang w:val="sk-SK" w:bidi="ar-SA"/>
        </w:rPr>
        <w:t>fluvizeme (typ), stredne ťažké až ľahké, plytké</w:t>
      </w:r>
    </w:p>
    <w:p>
      <w:pPr>
        <w:pStyle w:val="Odrpro1"/>
        <w:numPr>
          <w:ilvl w:val="0"/>
          <w:numId w:val="4"/>
        </w:numPr>
        <w:tabs>
          <w:tab w:val="left" w:pos="-3" w:leader="none"/>
          <w:tab w:val="left" w:pos="357" w:leader="none"/>
        </w:tabs>
        <w:rPr>
          <w:rFonts w:ascii="Spectra BT" w:hAnsi="Spectra BT" w:eastAsia="Times New Roman" w:cs="Spectra BT"/>
          <w:color w:val="auto"/>
          <w:sz w:val="22"/>
          <w:szCs w:val="22"/>
          <w:shd w:fill="auto" w:val="clear"/>
          <w:lang w:val="sk-SK" w:bidi="ar-SA"/>
        </w:rPr>
      </w:pPr>
      <w:r>
        <w:rPr>
          <w:rFonts w:eastAsia="Times New Roman" w:cs="Spectra BT"/>
          <w:color w:val="000000"/>
          <w:sz w:val="22"/>
          <w:szCs w:val="22"/>
          <w:shd w:fill="auto" w:val="clear"/>
          <w:lang w:val="sk-SK" w:bidi="ar-SA"/>
        </w:rPr>
        <w:t xml:space="preserve">19 – </w:t>
      </w:r>
      <w:r>
        <w:rPr>
          <w:rFonts w:eastAsia="Times New Roman" w:cs="Spectra BT"/>
          <w:color w:val="000000"/>
          <w:sz w:val="22"/>
          <w:szCs w:val="22"/>
          <w:shd w:fill="auto" w:val="clear"/>
          <w:lang w:val="sk-SK" w:bidi="ar-SA"/>
        </w:rPr>
        <w:t>čiernice typické, prevažne karbonátové stredne ťažké až ľahké, s priaznivým vodným režimom</w:t>
      </w:r>
    </w:p>
    <w:p>
      <w:pPr>
        <w:pStyle w:val="Odrpro1"/>
        <w:numPr>
          <w:ilvl w:val="0"/>
          <w:numId w:val="4"/>
        </w:numPr>
        <w:tabs>
          <w:tab w:val="left" w:pos="-3" w:leader="none"/>
          <w:tab w:val="left" w:pos="357" w:leader="none"/>
        </w:tabs>
        <w:rPr>
          <w:rFonts w:ascii="Spectra BT" w:hAnsi="Spectra BT" w:eastAsia="Times New Roman" w:cs="Spectra BT"/>
          <w:color w:val="auto"/>
          <w:sz w:val="22"/>
          <w:szCs w:val="22"/>
          <w:shd w:fill="auto" w:val="clear"/>
          <w:lang w:val="sk-SK" w:bidi="ar-SA"/>
        </w:rPr>
      </w:pPr>
      <w:r>
        <w:rPr>
          <w:rFonts w:eastAsia="Times New Roman" w:cs="Spectra BT"/>
          <w:color w:val="000000"/>
          <w:sz w:val="22"/>
          <w:szCs w:val="22"/>
          <w:shd w:fill="auto" w:val="clear"/>
          <w:lang w:val="sk-SK" w:bidi="ar-SA"/>
        </w:rPr>
        <w:t xml:space="preserve">20 – </w:t>
      </w:r>
      <w:r>
        <w:rPr>
          <w:rFonts w:eastAsia="Times New Roman" w:cs="Spectra BT"/>
          <w:color w:val="000000"/>
          <w:sz w:val="22"/>
          <w:szCs w:val="22"/>
          <w:shd w:fill="auto" w:val="clear"/>
          <w:lang w:val="sk-SK" w:bidi="ar-SA"/>
        </w:rPr>
        <w:t>čiernice typické, prevažne karbonátové, ťažké</w:t>
      </w:r>
    </w:p>
    <w:p>
      <w:pPr>
        <w:pStyle w:val="Odrpro1"/>
        <w:numPr>
          <w:ilvl w:val="0"/>
          <w:numId w:val="4"/>
        </w:numPr>
        <w:tabs>
          <w:tab w:val="left" w:pos="-3" w:leader="none"/>
          <w:tab w:val="left" w:pos="357" w:leader="none"/>
        </w:tabs>
        <w:rPr>
          <w:rFonts w:ascii="Spectra BT" w:hAnsi="Spectra BT" w:eastAsia="Times New Roman" w:cs="Spectra BT"/>
          <w:color w:val="auto"/>
          <w:sz w:val="22"/>
          <w:szCs w:val="22"/>
          <w:shd w:fill="auto" w:val="clear"/>
          <w:lang w:val="sk-SK" w:bidi="ar-SA"/>
        </w:rPr>
      </w:pPr>
      <w:r>
        <w:rPr>
          <w:rFonts w:eastAsia="Times New Roman" w:cs="Spectra BT"/>
          <w:color w:val="000000"/>
          <w:sz w:val="22"/>
          <w:szCs w:val="22"/>
          <w:shd w:fill="auto" w:val="clear"/>
          <w:lang w:val="sk-SK" w:bidi="ar-SA"/>
        </w:rPr>
        <w:t xml:space="preserve">24 – čiernice typické </w:t>
      </w:r>
      <w:r>
        <w:rPr>
          <w:rFonts w:eastAsia="Times New Roman" w:cs="Spectra BT"/>
          <w:color w:val="000000"/>
          <w:sz w:val="22"/>
          <w:szCs w:val="22"/>
          <w:shd w:fill="auto" w:val="clear"/>
          <w:lang w:val="sk-SK" w:bidi="ar-SA"/>
        </w:rPr>
        <w:t>až čiernice pelické, veľmi</w:t>
      </w:r>
      <w:r>
        <w:rPr>
          <w:rFonts w:eastAsia="Times New Roman" w:cs="Spectra BT"/>
          <w:color w:val="000000"/>
          <w:sz w:val="22"/>
          <w:szCs w:val="22"/>
          <w:shd w:fill="auto" w:val="clear"/>
          <w:lang w:val="sk-SK" w:bidi="ar-SA"/>
        </w:rPr>
        <w:t xml:space="preserve"> ťažké</w:t>
      </w:r>
    </w:p>
    <w:p>
      <w:pPr>
        <w:pStyle w:val="Odrpro1"/>
        <w:numPr>
          <w:ilvl w:val="0"/>
          <w:numId w:val="4"/>
        </w:numPr>
        <w:tabs>
          <w:tab w:val="left" w:pos="-3" w:leader="none"/>
          <w:tab w:val="left" w:pos="357" w:leader="none"/>
        </w:tabs>
        <w:rPr>
          <w:rFonts w:ascii="Spectra BT" w:hAnsi="Spectra BT" w:eastAsia="Times New Roman" w:cs="Spectra BT"/>
          <w:color w:val="auto"/>
          <w:sz w:val="22"/>
          <w:szCs w:val="22"/>
          <w:shd w:fill="auto" w:val="clear"/>
          <w:lang w:val="sk-SK" w:bidi="ar-SA"/>
        </w:rPr>
      </w:pPr>
      <w:r>
        <w:rPr>
          <w:rFonts w:eastAsia="Times New Roman" w:cs="Spectra BT"/>
          <w:color w:val="000000"/>
          <w:sz w:val="22"/>
          <w:szCs w:val="22"/>
          <w:shd w:fill="auto" w:val="clear"/>
          <w:lang w:val="sk-SK" w:bidi="ar-SA"/>
        </w:rPr>
        <w:t xml:space="preserve">39 – černozeme typické </w:t>
      </w:r>
      <w:r>
        <w:rPr>
          <w:rFonts w:eastAsia="Times New Roman" w:cs="Spectra BT"/>
          <w:color w:val="000000"/>
          <w:sz w:val="22"/>
          <w:szCs w:val="22"/>
          <w:shd w:fill="auto" w:val="clear"/>
          <w:lang w:val="sk-SK" w:bidi="ar-SA"/>
        </w:rPr>
        <w:t>a černozeme hnedozemné na sprašiach, stredne ťažké</w:t>
      </w:r>
    </w:p>
    <w:p>
      <w:pPr>
        <w:pStyle w:val="Odrpro1"/>
        <w:numPr>
          <w:ilvl w:val="0"/>
          <w:numId w:val="4"/>
        </w:numPr>
        <w:tabs>
          <w:tab w:val="left" w:pos="-3" w:leader="none"/>
          <w:tab w:val="left" w:pos="357" w:leader="none"/>
        </w:tabs>
        <w:rPr>
          <w:rFonts w:ascii="Spectra BT" w:hAnsi="Spectra BT" w:eastAsia="Times New Roman" w:cs="Spectra BT"/>
          <w:color w:val="auto"/>
          <w:sz w:val="22"/>
          <w:szCs w:val="22"/>
          <w:shd w:fill="auto" w:val="clear"/>
          <w:lang w:val="sk-SK" w:bidi="ar-SA"/>
        </w:rPr>
      </w:pPr>
      <w:r>
        <w:rPr>
          <w:rFonts w:eastAsia="Times New Roman" w:cs="Spectra BT"/>
          <w:color w:val="000000"/>
          <w:sz w:val="22"/>
          <w:szCs w:val="22"/>
          <w:shd w:fill="auto" w:val="clear"/>
          <w:lang w:val="sk-SK" w:bidi="ar-SA"/>
        </w:rPr>
        <w:t>44 – hnedozeme typické, na sprašiach, stredne ťažké</w:t>
      </w:r>
    </w:p>
    <w:p>
      <w:pPr>
        <w:pStyle w:val="Odrpro1"/>
        <w:numPr>
          <w:ilvl w:val="0"/>
          <w:numId w:val="4"/>
        </w:numPr>
        <w:tabs>
          <w:tab w:val="left" w:pos="-3" w:leader="none"/>
          <w:tab w:val="left" w:pos="357" w:leader="none"/>
        </w:tabs>
        <w:rPr>
          <w:rFonts w:ascii="Spectra BT" w:hAnsi="Spectra BT" w:eastAsia="Times New Roman" w:cs="Spectra BT"/>
          <w:color w:val="auto"/>
          <w:sz w:val="22"/>
          <w:szCs w:val="22"/>
          <w:shd w:fill="auto" w:val="clear"/>
          <w:lang w:val="sk-SK" w:bidi="ar-SA"/>
        </w:rPr>
      </w:pPr>
      <w:r>
        <w:rPr>
          <w:rFonts w:eastAsia="Times New Roman" w:cs="Spectra BT"/>
          <w:color w:val="000000"/>
          <w:sz w:val="22"/>
          <w:szCs w:val="22"/>
          <w:shd w:fill="auto" w:val="clear"/>
          <w:lang w:val="sk-SK" w:bidi="ar-SA"/>
        </w:rPr>
        <w:t xml:space="preserve">47 </w:t>
      </w:r>
      <w:r>
        <w:rPr>
          <w:rFonts w:eastAsia="Times New Roman" w:cs="Spectra BT"/>
          <w:color w:val="000000"/>
          <w:sz w:val="22"/>
          <w:szCs w:val="22"/>
          <w:shd w:fill="auto" w:val="clear"/>
          <w:lang w:val="sk-SK" w:bidi="ar-SA"/>
        </w:rPr>
        <w:t>–</w:t>
      </w:r>
      <w:r>
        <w:rPr>
          <w:rFonts w:eastAsia="Times New Roman" w:cs="Spectra BT"/>
          <w:color w:val="000000"/>
          <w:sz w:val="22"/>
          <w:szCs w:val="22"/>
          <w:shd w:fill="auto" w:val="clear"/>
          <w:lang w:val="sk-SK" w:bidi="ar-SA"/>
        </w:rPr>
        <w:t xml:space="preserve"> regozeme a hnedozeme erodované na sprašiach. Ornica je u hnedozeme vytvorená zo zbytku B horizontu, u regozemí je ornica vytvorená zo spraše po úplnom zmytí profilu hnedozeme. V komplexe prevládajú regozeme. Stredne ťažké</w:t>
      </w:r>
    </w:p>
    <w:p>
      <w:pPr>
        <w:pStyle w:val="Odrpro1"/>
        <w:numPr>
          <w:ilvl w:val="0"/>
          <w:numId w:val="4"/>
        </w:numPr>
        <w:tabs>
          <w:tab w:val="left" w:pos="-3" w:leader="none"/>
          <w:tab w:val="left" w:pos="357" w:leader="none"/>
        </w:tabs>
        <w:rPr>
          <w:rFonts w:ascii="Spectra BT" w:hAnsi="Spectra BT" w:eastAsia="Times New Roman" w:cs="Spectra BT"/>
          <w:color w:val="auto"/>
          <w:sz w:val="22"/>
          <w:szCs w:val="22"/>
          <w:shd w:fill="auto" w:val="clear"/>
          <w:lang w:val="sk-SK" w:bidi="ar-SA"/>
        </w:rPr>
      </w:pPr>
      <w:r>
        <w:rPr>
          <w:rFonts w:eastAsia="Times New Roman" w:cs="Spectra BT"/>
          <w:color w:val="000000"/>
          <w:sz w:val="22"/>
          <w:szCs w:val="22"/>
          <w:shd w:fill="auto" w:val="clear"/>
          <w:lang w:val="sk-SK" w:bidi="ar-SA"/>
        </w:rPr>
        <w:t>51 – hnedozeme pseudoglejové, miestami pseudogleje s hrubším humusovým horizontom, na sprašových a polygénnych hlinách, ťažké</w:t>
      </w:r>
    </w:p>
    <w:p>
      <w:pPr>
        <w:pStyle w:val="Odrpro1"/>
        <w:numPr>
          <w:ilvl w:val="0"/>
          <w:numId w:val="5"/>
        </w:numPr>
        <w:rPr/>
      </w:pPr>
      <w:r>
        <w:rPr/>
        <w:t>54 – hnedozeme erodované a regozeme na rôznych substrátoch na výrazných svahoch: 12-25</w:t>
      </w:r>
      <w:r>
        <w:rPr>
          <w:vertAlign w:val="superscript"/>
        </w:rPr>
        <w:t>o</w:t>
      </w:r>
      <w:r>
        <w:rPr/>
        <w:t xml:space="preserve"> , prevládajú hnedozeme erodované, stredne ťažké až ťažké</w:t>
      </w:r>
    </w:p>
    <w:p>
      <w:pPr>
        <w:pStyle w:val="Odstpro"/>
        <w:ind w:left="0" w:right="0" w:hanging="0"/>
        <w:rPr>
          <w:color w:val="auto"/>
        </w:rPr>
      </w:pPr>
      <w:r>
        <w:rPr>
          <w:rFonts w:eastAsia="Webdings" w:cs="Webdings"/>
          <w:color w:val="000000"/>
          <w:sz w:val="22"/>
          <w:szCs w:val="22"/>
          <w:shd w:fill="auto" w:val="clear"/>
          <w:lang w:val="sk-SK" w:bidi="ar-SA"/>
        </w:rPr>
        <w:t>N</w:t>
      </w:r>
      <w:r>
        <w:rPr>
          <w:rFonts w:eastAsia="Webdings" w:cs="Webdings"/>
          <w:color w:val="000000"/>
          <w:shd w:fill="auto" w:val="clear"/>
        </w:rPr>
        <w:t xml:space="preserve">ajkvalitnejšiu pôdu podľa Nariadenia vlády SR č. 58/2013 Z.z. predstavuje pôda s kódmi BPEJ: 0019012, 0020003, 0044002, 0119002, 0120003, 0126002, 0139002, 0144002, 0144202 v k.ú. </w:t>
      </w:r>
      <w:r>
        <w:rPr>
          <w:rFonts w:eastAsia="Symbol" w:cs="Spectra BT"/>
          <w:color w:val="000000"/>
          <w:sz w:val="22"/>
          <w:szCs w:val="22"/>
          <w:shd w:fill="auto" w:val="clear"/>
          <w:lang w:val="sk-SK" w:bidi="ar-SA"/>
        </w:rPr>
        <w:t>Vajka nad Žitavou</w:t>
      </w:r>
      <w:r>
        <w:rPr>
          <w:rFonts w:eastAsia="Webdings" w:cs="Webdings"/>
          <w:color w:val="000000"/>
          <w:shd w:fill="auto" w:val="clear"/>
        </w:rPr>
        <w:t xml:space="preserve"> a 0019002, 0023003, 0039002, 0119002, 0139002, 0144002, 0144202 v k.ú. </w:t>
      </w:r>
      <w:r>
        <w:rPr>
          <w:rFonts w:eastAsia="Symbol" w:cs="Spectra BT"/>
          <w:color w:val="000000"/>
          <w:sz w:val="22"/>
          <w:szCs w:val="22"/>
          <w:shd w:fill="auto" w:val="clear"/>
          <w:lang w:val="sk-SK" w:bidi="ar-SA"/>
        </w:rPr>
        <w:t>Martinová</w:t>
      </w:r>
      <w:r>
        <w:rPr>
          <w:rFonts w:eastAsia="Webdings" w:cs="Webdings"/>
          <w:color w:val="000000"/>
          <w:shd w:fill="auto" w:val="clear"/>
        </w:rPr>
        <w:t xml:space="preserve">. Táto poľnohospodárska pôda je zaradená podľa BPEJ do </w:t>
      </w:r>
      <w:r>
        <w:rPr>
          <w:rFonts w:eastAsia="Webdings" w:cs="Webdings"/>
          <w:color w:val="000000"/>
          <w:shd w:fill="auto" w:val="clear"/>
        </w:rPr>
        <w:t>1</w:t>
      </w:r>
      <w:r>
        <w:rPr>
          <w:rFonts w:eastAsia="Webdings" w:cs="Webdings"/>
          <w:color w:val="000000"/>
          <w:shd w:fill="auto" w:val="clear"/>
        </w:rPr>
        <w:t xml:space="preserve">., </w:t>
      </w:r>
      <w:r>
        <w:rPr>
          <w:rFonts w:eastAsia="Webdings" w:cs="Webdings"/>
          <w:color w:val="000000"/>
          <w:shd w:fill="auto" w:val="clear"/>
        </w:rPr>
        <w:t>2., 3.</w:t>
      </w:r>
      <w:r>
        <w:rPr>
          <w:rFonts w:eastAsia="Webdings" w:cs="Webdings"/>
          <w:color w:val="000000"/>
          <w:shd w:fill="auto" w:val="clear"/>
          <w:lang w:val="sk-SK" w:bidi="ar-SA"/>
        </w:rPr>
        <w:t xml:space="preserve"> </w:t>
      </w:r>
      <w:r>
        <w:rPr>
          <w:rFonts w:eastAsia="Webdings" w:cs="Webdings"/>
          <w:color w:val="000000"/>
          <w:shd w:fill="auto" w:val="clear"/>
          <w:lang w:val="sk-SK" w:bidi="ar-SA"/>
        </w:rPr>
        <w:t>s</w:t>
      </w:r>
      <w:r>
        <w:rPr>
          <w:rFonts w:eastAsia="Webdings" w:cs="Webdings"/>
          <w:color w:val="000000"/>
          <w:shd w:fill="auto" w:val="clear"/>
        </w:rPr>
        <w:t>kupiny kvality z celkovo 9 skupín kvality podľa zákona č. 220/2004 Z.z.</w:t>
      </w:r>
      <w:r>
        <w:br w:type="page"/>
      </w:r>
    </w:p>
    <w:p>
      <w:pPr>
        <w:pStyle w:val="Obrnadpro"/>
        <w:rPr/>
      </w:pPr>
      <w:r>
        <w:rPr/>
        <w:t xml:space="preserve">Zhodnotenie a </w:t>
      </w:r>
      <w:r>
        <w:rPr>
          <w:u w:val="single"/>
        </w:rPr>
        <w:t>zdôvodnenie</w:t>
      </w:r>
      <w:r>
        <w:rPr/>
        <w:t xml:space="preserve"> stavebných a iných zámerov navrhovaných na poľnohospodárskej pôde z hľadiska uplatnenia zásad ochrany poľnohospodárskej pôdy</w:t>
      </w:r>
    </w:p>
    <w:p>
      <w:pPr>
        <w:pStyle w:val="Odstpro"/>
        <w:ind w:left="0" w:right="0" w:hanging="0"/>
        <w:rPr>
          <w:rFonts w:ascii="Spectra BT" w:hAnsi="Spectra BT" w:eastAsia="Webdings" w:cs="Spectra BT"/>
          <w:i w:val="false"/>
          <w:i w:val="false"/>
          <w:iCs w:val="false"/>
          <w:color w:val="auto"/>
          <w:sz w:val="22"/>
          <w:szCs w:val="22"/>
          <w:lang w:val="sk-SK" w:bidi="ar-SA"/>
        </w:rPr>
      </w:pPr>
      <w:r>
        <w:rPr>
          <w:rFonts w:eastAsia="Webdings" w:cs="Spectra BT"/>
          <w:i w:val="false"/>
          <w:iCs w:val="false"/>
          <w:color w:val="auto"/>
          <w:sz w:val="22"/>
          <w:szCs w:val="22"/>
          <w:lang w:val="sk-SK" w:bidi="ar-SA"/>
        </w:rPr>
        <w:t xml:space="preserve">Rozsah navrhovaných plôch pre výstavbu a s tým súvisiacich záberov poľnohospodárskej pôdy odôvodňujeme aktuálnym demografickým vývojom, charakteristickým značnými migračnými prírastkami, výhodnou polohou obce a dobrou dopravnou dostupnosťou. </w:t>
      </w:r>
    </w:p>
    <w:p>
      <w:pPr>
        <w:pStyle w:val="Odstpro"/>
        <w:ind w:left="0" w:right="0" w:hanging="0"/>
        <w:rPr>
          <w:rFonts w:ascii="Spectra BT" w:hAnsi="Spectra BT" w:eastAsia="Webdings" w:cs="Spectra BT"/>
          <w:i w:val="false"/>
          <w:i w:val="false"/>
          <w:iCs w:val="false"/>
          <w:color w:val="auto"/>
          <w:sz w:val="22"/>
          <w:szCs w:val="22"/>
          <w:lang w:val="sk-SK" w:bidi="ar-SA"/>
        </w:rPr>
      </w:pPr>
      <w:r>
        <w:rPr>
          <w:rFonts w:eastAsia="Webdings" w:cs="Spectra BT"/>
          <w:i w:val="false"/>
          <w:iCs w:val="false"/>
          <w:color w:val="auto"/>
          <w:sz w:val="22"/>
          <w:szCs w:val="22"/>
          <w:lang w:val="sk-SK" w:bidi="ar-SA"/>
        </w:rPr>
        <w:t xml:space="preserve">Návrhom nových rozvojových plôch nedôjde k nadmernému rozdrobeniu poľnohospodárskej pôdy. V značnej miere sa navrhuje vyplnenie prieluk a využitie priestorových rezerv v zastavanom území obce. Na zastavané územie pripadá 22,7% výmery predpokladaných celkových záberov poľnohospodárskej pôdy. </w:t>
      </w:r>
    </w:p>
    <w:p>
      <w:pPr>
        <w:pStyle w:val="Odstpro"/>
        <w:ind w:left="0" w:right="0" w:hanging="0"/>
        <w:rPr>
          <w:rFonts w:ascii="Spectra BT" w:hAnsi="Spectra BT" w:eastAsia="Webdings" w:cs="Spectra BT"/>
          <w:i w:val="false"/>
          <w:i w:val="false"/>
          <w:iCs w:val="false"/>
          <w:color w:val="auto"/>
          <w:sz w:val="22"/>
          <w:szCs w:val="22"/>
          <w:lang w:val="sk-SK" w:bidi="ar-SA"/>
        </w:rPr>
      </w:pPr>
      <w:r>
        <w:rPr>
          <w:rFonts w:eastAsia="Webdings" w:cs="Spectra BT"/>
          <w:i w:val="false"/>
          <w:iCs w:val="false"/>
          <w:color w:val="auto"/>
          <w:sz w:val="22"/>
          <w:szCs w:val="22"/>
          <w:lang w:val="sk-SK" w:bidi="ar-SA"/>
        </w:rPr>
        <w:t>Z dôvodu rozdrobených vlastníckych vzťahov v záhradách sťažujúcich výstavbu potrebnej infraštruktúry, však bolo nevyhnutné navrhnúť aj kompaktné plochy mimo zastavaného územia obce. Preto sa výstavba v záhradách predpokladá prevažne až v II. etape a na zástavbu sa reálne využije maximálne 50% identifikovaných priestorových rezerv v záhradách.</w:t>
      </w:r>
    </w:p>
    <w:p>
      <w:pPr>
        <w:pStyle w:val="Odstpro"/>
        <w:ind w:left="0" w:right="0" w:hanging="0"/>
        <w:rPr>
          <w:rFonts w:ascii="Spectra BT" w:hAnsi="Spectra BT" w:eastAsia="Webdings" w:cs="Spectra BT"/>
          <w:i w:val="false"/>
          <w:i w:val="false"/>
          <w:iCs w:val="false"/>
          <w:color w:val="auto"/>
          <w:sz w:val="22"/>
          <w:szCs w:val="22"/>
          <w:u w:val="single"/>
          <w:lang w:val="sk-SK" w:bidi="ar-SA"/>
        </w:rPr>
      </w:pPr>
      <w:r>
        <w:rPr>
          <w:rFonts w:eastAsia="Webdings" w:cs="Spectra BT"/>
          <w:i w:val="false"/>
          <w:iCs w:val="false"/>
          <w:color w:val="auto"/>
          <w:sz w:val="22"/>
          <w:szCs w:val="22"/>
          <w:u w:val="single"/>
          <w:lang w:val="sk-SK" w:bidi="ar-SA"/>
        </w:rPr>
        <w:t>Celková koncepcia je podriadená myšlienke prepojenia oboch miestnych častí, s vybudovaním nového centra. Rozvojové plochy č. 10 (pre nové centrum so sociálnou vybavenosťou) a č. 11 (pre verejnú zeleň centra) sú preto definované ako verejnoprospešné stavby. Rovnako je medzi verejnoprospešné stavby zaradené a rozšírenie športového areálu o rozvojovú plochu č. 1. Návrh rozvojových plôch č. 2, 3, 8, 9, 12 ďalej odôvodňujeme skutočnosťou, že sa úplne alebo sčasti nachádzajú mimo najkvalitnejšej pôdy v danom katastrálnom území. Návrh zástavby rozvojovej plochy č. 2 odôvodňujeme možnosťou využitia druhej strany existujúcej cesty s vybudovanou infraštruktúrou. Dôvodom zaradenia rozvojových plôch č. 4 a 5 je skutočnosť, že ide o aktuálny rozvojový zámer a pozemky tu už pre tento účel boli rozparcelované (v prípade rozvojovej plochy č. 5 len v jej západnej časti). Návrh rozvojovej plochy č. 7 odôvodňujeme vlastníctvom pozemkov – ide o pozemky vo vlastníctve obce Lúčnica nad Žitavou.</w:t>
      </w:r>
    </w:p>
    <w:p>
      <w:pPr>
        <w:pStyle w:val="Odstpro"/>
        <w:ind w:left="0" w:right="0" w:hanging="0"/>
        <w:rPr>
          <w:rFonts w:ascii="Spectra BT" w:hAnsi="Spectra BT" w:eastAsia="Webdings" w:cs="Spectra BT"/>
          <w:i w:val="false"/>
          <w:i w:val="false"/>
          <w:iCs w:val="false"/>
          <w:color w:val="auto"/>
          <w:sz w:val="22"/>
          <w:szCs w:val="22"/>
          <w:u w:val="none"/>
          <w:lang w:val="sk-SK" w:bidi="ar-SA"/>
        </w:rPr>
      </w:pPr>
      <w:r>
        <w:rPr>
          <w:rFonts w:eastAsia="Webdings" w:cs="Spectra BT"/>
          <w:i w:val="false"/>
          <w:iCs w:val="false"/>
          <w:color w:val="auto"/>
          <w:sz w:val="22"/>
          <w:szCs w:val="22"/>
          <w:u w:val="none"/>
          <w:lang w:val="sk-SK" w:bidi="ar-SA"/>
        </w:rPr>
        <w:t xml:space="preserve">Vzhľadom k rozloženiu najkvalitnejšej poľnohospodárskej pôdy v katastrálnych územiach (označenej v tabuľke podčiarknutím) nebolo možné vyhnúť sa záberom tejto pôdy, ktorá zastavané územie obklopuje takmer zo všetkých strán a len na zamokrenej nive Žitavy a na svahoch pahorkatiny vo väčšej vzdialenosti od zastavaného územia obce je kvalita pôdy nižšia. </w:t>
      </w:r>
    </w:p>
    <w:p>
      <w:pPr>
        <w:pStyle w:val="Odstpro"/>
        <w:ind w:left="0" w:right="0" w:hanging="0"/>
        <w:rPr>
          <w:rFonts w:ascii="Spectra BT" w:hAnsi="Spectra BT" w:eastAsia="Webdings" w:cs="Spectra BT"/>
          <w:i w:val="false"/>
          <w:i w:val="false"/>
          <w:iCs w:val="false"/>
          <w:color w:val="FF00FF"/>
          <w:sz w:val="22"/>
          <w:szCs w:val="22"/>
          <w:u w:val="single"/>
          <w:lang w:val="sk-SK" w:bidi="ar-SA"/>
        </w:rPr>
      </w:pPr>
      <w:r>
        <w:rPr>
          <w:rFonts w:eastAsia="Webdings" w:cs="Spectra BT"/>
          <w:i w:val="false"/>
          <w:iCs w:val="false"/>
          <w:color w:val="auto"/>
          <w:sz w:val="22"/>
          <w:szCs w:val="22"/>
          <w:u w:val="none"/>
          <w:lang w:val="sk-SK" w:bidi="ar-SA"/>
        </w:rPr>
        <w:t xml:space="preserve">Rozvojové plochy mimo zastavaného územia obce, ktoré z väčšej časti zasahujú na najkvalitnejšiu pôdu v danom katastrálnom území, sú alternatívne riešené ako nulový variant </w:t>
      </w:r>
      <w:r>
        <w:rPr>
          <w:rFonts w:eastAsia="Webdings" w:cs="Spectra BT"/>
          <w:i w:val="false"/>
          <w:iCs w:val="false"/>
          <w:color w:val="auto"/>
          <w:sz w:val="22"/>
          <w:szCs w:val="22"/>
          <w:u w:val="none"/>
          <w:lang w:val="sk-SK" w:bidi="ar-SA"/>
        </w:rPr>
        <w:t>(nulové riešenie)</w:t>
      </w:r>
      <w:r>
        <w:rPr>
          <w:rFonts w:eastAsia="Webdings" w:cs="Spectra BT"/>
          <w:i w:val="false"/>
          <w:iCs w:val="false"/>
          <w:color w:val="auto"/>
          <w:sz w:val="22"/>
          <w:szCs w:val="22"/>
          <w:u w:val="none"/>
          <w:lang w:val="sk-SK" w:bidi="ar-SA"/>
        </w:rPr>
        <w:t xml:space="preserve"> </w:t>
      </w:r>
      <w:r>
        <w:rPr>
          <w:rFonts w:eastAsia="Webdings" w:cs="Spectra BT"/>
          <w:i w:val="false"/>
          <w:iCs w:val="false"/>
          <w:color w:val="auto"/>
          <w:sz w:val="22"/>
          <w:szCs w:val="22"/>
          <w:u w:val="none"/>
          <w:lang w:val="sk-SK" w:bidi="ar-SA"/>
        </w:rPr>
        <w:t xml:space="preserve">podľa zákona č. 220/2004 Z. z. </w:t>
      </w:r>
      <w:r>
        <w:rPr>
          <w:rFonts w:eastAsia="Webdings" w:cs="Spectra BT"/>
          <w:i w:val="false"/>
          <w:iCs w:val="false"/>
          <w:color w:val="auto"/>
          <w:sz w:val="22"/>
          <w:szCs w:val="22"/>
          <w:u w:val="none"/>
          <w:lang w:val="sk-SK" w:bidi="ar-SA"/>
        </w:rPr>
        <w:t>(pokiaľ nejde o verejnoprospešnú stavbu).</w:t>
      </w:r>
      <w:r>
        <w:rPr>
          <w:rFonts w:eastAsia="Webdings" w:cs="Spectra BT"/>
          <w:i w:val="false"/>
          <w:iCs w:val="false"/>
          <w:color w:val="auto"/>
          <w:sz w:val="22"/>
          <w:szCs w:val="22"/>
          <w:u w:val="none"/>
          <w:lang w:val="sk-SK" w:bidi="ar-SA"/>
        </w:rPr>
        <w:t xml:space="preserve"> </w:t>
      </w:r>
      <w:r>
        <w:rPr>
          <w:rFonts w:eastAsia="Webdings" w:cs="Spectra BT"/>
          <w:i w:val="false"/>
          <w:iCs w:val="false"/>
          <w:color w:val="auto"/>
          <w:sz w:val="22"/>
          <w:szCs w:val="22"/>
          <w:u w:val="none"/>
          <w:lang w:val="sk-SK" w:bidi="ar-SA"/>
        </w:rPr>
        <w:t>Odôvodnenie ich návrhu je uvedené vyššie.</w:t>
      </w:r>
    </w:p>
    <w:p>
      <w:pPr>
        <w:pStyle w:val="Odstpro"/>
        <w:ind w:left="0" w:right="0" w:hanging="0"/>
        <w:rPr>
          <w:rFonts w:ascii="Spectra BT" w:hAnsi="Spectra BT" w:eastAsia="Webdings" w:cs="Spectra BT"/>
          <w:i w:val="false"/>
          <w:i w:val="false"/>
          <w:iCs w:val="false"/>
          <w:color w:val="auto"/>
          <w:sz w:val="22"/>
          <w:szCs w:val="22"/>
          <w:lang w:val="sk-SK" w:bidi="ar-SA"/>
        </w:rPr>
      </w:pPr>
      <w:r>
        <w:rPr>
          <w:rFonts w:eastAsia="Webdings" w:cs="Spectra BT"/>
          <w:i w:val="false"/>
          <w:iCs w:val="false"/>
          <w:color w:val="auto"/>
          <w:sz w:val="22"/>
          <w:szCs w:val="22"/>
          <w:lang w:val="sk-SK" w:bidi="ar-SA"/>
        </w:rPr>
        <w:t>Podľa druhu pozemku ide zväčša o ornú pôdu, len v prípade prieluk a využitia voľných plôch v existujúcej zástavbe ide o záhrady, miestami aj o trvalé kultúry. Menšie časti plôch v zastavanom území vyčlenené pre novú výstavbu sú situované na nepoľnohospodárskej pôde, kde nedôjde k záberom poľnohospodárskej pôdy.</w:t>
      </w:r>
    </w:p>
    <w:p>
      <w:pPr>
        <w:pStyle w:val="Odstpro"/>
        <w:ind w:left="0" w:right="0" w:hanging="0"/>
        <w:rPr>
          <w:rFonts w:ascii="Spectra BT" w:hAnsi="Spectra BT" w:eastAsia="Webdings" w:cs="Spectra BT"/>
          <w:i w:val="false"/>
          <w:i w:val="false"/>
          <w:iCs w:val="false"/>
          <w:color w:val="auto"/>
          <w:sz w:val="22"/>
          <w:szCs w:val="22"/>
          <w:lang w:val="sk-SK" w:bidi="ar-SA"/>
        </w:rPr>
      </w:pPr>
      <w:r>
        <w:rPr>
          <w:rFonts w:eastAsia="Webdings" w:cs="Spectra BT"/>
          <w:i w:val="false"/>
          <w:iCs w:val="false"/>
          <w:color w:val="auto"/>
          <w:sz w:val="22"/>
          <w:szCs w:val="22"/>
          <w:lang w:val="sk-SK" w:bidi="ar-SA"/>
        </w:rPr>
        <w:t xml:space="preserve">Skutočný záber poľnohospodárskej pôdy v navrhovaných rozvojových plochách pre bývanie bude oproti uvádzaným bilanciám nižší, a to asi o 50%. Predpokladá sa, že zábery poľnohospodárskej pôdy budú len na zastavané plochy objektov a pozemky pod cestami. Na zastavanú plochu 1 rodinného domu bude pripadať max. 200 m2. </w:t>
      </w:r>
    </w:p>
    <w:p>
      <w:pPr>
        <w:pStyle w:val="Odstpro"/>
        <w:ind w:left="0" w:right="0" w:hanging="0"/>
        <w:rPr>
          <w:rFonts w:ascii="Spectra BT" w:hAnsi="Spectra BT" w:eastAsia="Webdings" w:cs="Spectra BT"/>
          <w:i w:val="false"/>
          <w:i w:val="false"/>
          <w:iCs w:val="false"/>
          <w:color w:val="auto"/>
          <w:sz w:val="22"/>
          <w:szCs w:val="22"/>
          <w:lang w:val="sk-SK" w:bidi="ar-SA"/>
        </w:rPr>
      </w:pPr>
      <w:r>
        <w:rPr>
          <w:rFonts w:eastAsia="Webdings" w:cs="Spectra BT"/>
          <w:i w:val="false"/>
          <w:iCs w:val="false"/>
          <w:color w:val="auto"/>
          <w:sz w:val="22"/>
          <w:szCs w:val="22"/>
          <w:lang w:val="sk-SK" w:bidi="ar-SA"/>
        </w:rPr>
        <w:t xml:space="preserve">Rozvojové plochy sú rozdelené do dvoch etáp výstavby (I. etapa, II. etapa) podľa predpokladanej postupnosti výstavby a na základe vyššie uvedeného zdôvodnenia. Rozvojové plochy mimo zastavaného územia obce, ktoré z väčšej časti zasahujú na najkvalitnejšiu pôdu v danom katastrálnom území, sú alternatívne riešené ako nulový variant (nulové riešenie) podľa zákona č. 220/2004 Z. z. </w:t>
      </w:r>
      <w:r>
        <w:rPr>
          <w:rFonts w:eastAsia="Webdings" w:cs="Spectra BT"/>
          <w:i w:val="false"/>
          <w:iCs w:val="false"/>
          <w:color w:val="auto"/>
          <w:sz w:val="22"/>
          <w:szCs w:val="22"/>
          <w:lang w:val="sk-SK" w:bidi="ar-SA"/>
        </w:rPr>
        <w:t>a v prípade neudelenia súhlasu budú preradené do etapy výhľad.</w:t>
      </w:r>
      <w:r>
        <w:rPr>
          <w:rFonts w:eastAsia="Webdings" w:cs="Spectra BT"/>
          <w:i w:val="false"/>
          <w:iCs w:val="false"/>
          <w:color w:val="auto"/>
          <w:sz w:val="22"/>
          <w:szCs w:val="22"/>
          <w:lang w:val="sk-SK" w:bidi="ar-SA"/>
        </w:rPr>
        <w:t xml:space="preserve"> Odôvodnenie ich návrhu je uvedené vyššie.</w:t>
      </w:r>
    </w:p>
    <w:p>
      <w:pPr>
        <w:pStyle w:val="Odstpro"/>
        <w:ind w:left="0" w:right="0" w:hanging="0"/>
        <w:rPr/>
      </w:pPr>
      <w:r>
        <w:rPr>
          <w:rFonts w:eastAsia="Webdings" w:cs="Spectra BT"/>
          <w:i w:val="false"/>
          <w:iCs w:val="false"/>
          <w:color w:val="auto"/>
          <w:sz w:val="22"/>
          <w:szCs w:val="22"/>
          <w:lang w:val="sk-SK" w:bidi="ar-SA"/>
        </w:rPr>
        <w:t xml:space="preserve">Vyhodnotenie záberov poľnohospodárskej pôdy je spracované v zmysle zákona č. 220/2004 Z. z. o ochrane a využívaní poľnohospodárskej pôdy v znení neskorších predpisov a v zmysle jeho vykonávacej vyhlášky č. 508/2004 Z. z. Tabuľka je spracovaná v súlade so vzorom tabuľky v prílohe č. 4 uvedenej vyhlášky. </w:t>
      </w:r>
      <w:r>
        <w:rPr>
          <w:rFonts w:eastAsia="Webdings" w:cs="Spectra BT"/>
          <w:color w:val="auto"/>
          <w:sz w:val="22"/>
          <w:szCs w:val="22"/>
          <w:lang w:val="sk-SK" w:bidi="ar-SA"/>
        </w:rPr>
        <w:t xml:space="preserve"> </w:t>
      </w:r>
    </w:p>
    <w:p>
      <w:pPr>
        <w:pStyle w:val="Obrnadpro"/>
        <w:pageBreakBefore w:val="false"/>
        <w:ind w:left="397" w:right="0" w:hanging="0"/>
        <w:rPr>
          <w:rFonts w:ascii="Spectra BT" w:hAnsi="Spectra BT" w:eastAsia="Webdings" w:cs="Sylfaen"/>
          <w:b w:val="false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</w:r>
    </w:p>
    <w:p>
      <w:pPr>
        <w:pStyle w:val="Odstpro"/>
        <w:spacing w:before="57" w:after="0"/>
        <w:ind w:left="0" w:right="0" w:hanging="0"/>
        <w:rPr>
          <w:rFonts w:eastAsia="Webdings" w:cs="Sylfaen"/>
          <w:b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r>
    </w:p>
    <w:p>
      <w:pPr>
        <w:pStyle w:val="Odstpro"/>
        <w:pageBreakBefore w:val="false"/>
        <w:spacing w:before="57" w:after="0"/>
        <w:ind w:left="0" w:right="0" w:hanging="0"/>
        <w:rPr>
          <w:rFonts w:eastAsia="Webdings" w:cs="Sylfaen"/>
          <w:b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r>
    </w:p>
    <w:p>
      <w:pPr>
        <w:pStyle w:val="Odstpro"/>
        <w:spacing w:before="57" w:after="0"/>
        <w:ind w:left="0" w:right="0" w:hanging="0"/>
        <w:rPr>
          <w:rFonts w:ascii="Spectra BT" w:hAnsi="Spectra BT" w:eastAsia="Times New Roman" w:cs="Spectra BT"/>
          <w:b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Times New Roman" w:cs="Spectra BT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r>
      <w:r>
        <w:br w:type="page"/>
      </w:r>
    </w:p>
    <w:p>
      <w:pPr>
        <w:pStyle w:val="Obrnadpro"/>
        <w:ind w:left="397" w:right="0" w:hanging="0"/>
        <w:rPr>
          <w:color w:val="auto"/>
        </w:rPr>
      </w:pPr>
      <w:r>
        <w:rPr>
          <w:color w:val="auto"/>
        </w:rPr>
        <w:t>Charakteristika navrhovaných rozvojových plôch (lokalít) mimo zastavaného územia obce</w:t>
      </w:r>
    </w:p>
    <w:p>
      <w:pPr>
        <w:pStyle w:val="Odstpro"/>
        <w:rPr>
          <w:b/>
          <w:b/>
          <w:bCs/>
          <w:color w:val="auto"/>
        </w:rPr>
      </w:pPr>
      <w:r>
        <w:rPr>
          <w:b/>
          <w:bCs/>
          <w:color w:val="auto"/>
        </w:rPr>
        <w:t>Lokalita 1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Funkčné využitie: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šport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Výmera: 0,2959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Záber PP: 0,2959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Druh pozemku: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orná pôda</w:t>
      </w:r>
    </w:p>
    <w:p>
      <w:pPr>
        <w:pStyle w:val="Odrpro1"/>
        <w:numPr>
          <w:ilvl w:val="0"/>
          <w:numId w:val="3"/>
        </w:numPr>
        <w:rPr/>
      </w:pPr>
      <w:r>
        <w:rPr>
          <w:rFonts w:cs="Sylfaen"/>
          <w:color w:val="auto"/>
        </w:rPr>
        <w:t xml:space="preserve">BPEJ / skupina kvality: </w:t>
      </w:r>
      <w:r>
        <w:rPr>
          <w:rFonts w:cs="Sylfaen"/>
          <w:b w:val="false"/>
          <w:bCs w:val="false"/>
          <w:color w:val="auto"/>
          <w:u w:val="none"/>
        </w:rPr>
        <w:t>0024004/5</w:t>
      </w:r>
    </w:p>
    <w:p>
      <w:pPr>
        <w:pStyle w:val="Odrpro1"/>
        <w:numPr>
          <w:ilvl w:val="0"/>
          <w:numId w:val="3"/>
        </w:numPr>
        <w:rPr>
          <w:rFonts w:cs="Sylfaen"/>
          <w:color w:val="auto"/>
          <w:u w:val="none"/>
        </w:rPr>
      </w:pPr>
      <w:r>
        <w:rPr>
          <w:rFonts w:cs="Sylfaen"/>
          <w:color w:val="auto"/>
          <w:u w:val="none"/>
        </w:rPr>
        <w:t>Typ pôdy (podľa kódu BPEJ): čiernice typické až čiernice pelické, veľmi ťažké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sz w:val="22"/>
          <w:szCs w:val="22"/>
          <w:u w:val="none"/>
          <w:lang w:val="sk-SK" w:eastAsia="zh-CN" w:bidi="ar-SA"/>
        </w:rPr>
        <w:t>Zoznam po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zemkov (reg. C)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časti pozemkov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1721/5, 1721/2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Zoznam pozemkov (reg.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E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)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časti pozemkov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1721, 1723</w:t>
      </w:r>
    </w:p>
    <w:p>
      <w:pPr>
        <w:pStyle w:val="Odstpro"/>
        <w:spacing w:before="57" w:after="0"/>
        <w:ind w:left="0" w:right="0" w:hanging="0"/>
        <w:rPr>
          <w:rFonts w:eastAsia="Webdings" w:cs="Sylfaen"/>
          <w:b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Lokalita 2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Funkčné využitie: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bývanie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Výmera: 0,7606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Záber PP: 0,7606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Druh pozemku: orná pôda</w:t>
      </w:r>
    </w:p>
    <w:p>
      <w:pPr>
        <w:pStyle w:val="Odrpro1"/>
        <w:numPr>
          <w:ilvl w:val="0"/>
          <w:numId w:val="3"/>
        </w:numPr>
        <w:rPr/>
      </w:pPr>
      <w:r>
        <w:rPr>
          <w:rFonts w:cs="Sylfaen"/>
          <w:color w:val="auto"/>
        </w:rPr>
        <w:t xml:space="preserve">BPEJ / skupina kvality: </w:t>
      </w:r>
      <w:r>
        <w:rPr>
          <w:rFonts w:cs="Sylfaen"/>
          <w:b w:val="false"/>
          <w:bCs w:val="false"/>
          <w:color w:val="auto"/>
          <w:u w:val="none"/>
        </w:rPr>
        <w:t>0114062/6</w:t>
      </w:r>
    </w:p>
    <w:p>
      <w:pPr>
        <w:pStyle w:val="Odrpro1"/>
        <w:numPr>
          <w:ilvl w:val="0"/>
          <w:numId w:val="3"/>
        </w:numPr>
        <w:rPr>
          <w:rFonts w:cs="Sylfaen"/>
          <w:color w:val="auto"/>
          <w:u w:val="none"/>
        </w:rPr>
      </w:pPr>
      <w:r>
        <w:rPr>
          <w:rFonts w:cs="Sylfaen"/>
          <w:color w:val="auto"/>
          <w:u w:val="none"/>
        </w:rPr>
        <w:t>Typ pôdy (podľa kódu BPEJ): fluvizeme (typ), stredne ťažké až ľahké, plytké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sz w:val="22"/>
          <w:szCs w:val="22"/>
          <w:u w:val="none"/>
          <w:lang w:val="sk-SK" w:eastAsia="zh-CN" w:bidi="ar-SA"/>
        </w:rPr>
        <w:t>Zoznam po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zemkov (reg. C)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časti pozemkov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1581/1-časť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Zoznam pozemkov (reg. E) – k.ú. Vajka n/Ž.: časť pozemku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1714</w:t>
      </w:r>
      <w:r>
        <w:rPr>
          <w:color w:val="auto"/>
        </w:rPr>
        <w:t>/</w:t>
      </w:r>
      <w:r>
        <w:rPr>
          <w:color w:val="auto"/>
        </w:rPr>
        <w:t>3-časť</w:t>
      </w:r>
    </w:p>
    <w:p>
      <w:pPr>
        <w:pStyle w:val="Odstpro"/>
        <w:spacing w:before="57" w:after="0"/>
        <w:ind w:left="0" w:right="0" w:hanging="0"/>
        <w:rPr>
          <w:rFonts w:eastAsia="Webdings" w:cs="Sylfaen"/>
          <w:b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 xml:space="preserve">Lokalita </w:t>
      </w: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3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Funkčné využitie: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bývanie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Výmera: 2,3380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Záber PP: 2,3380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Druh pozemku: orná pôda</w:t>
      </w:r>
    </w:p>
    <w:p>
      <w:pPr>
        <w:pStyle w:val="Odrpro1"/>
        <w:numPr>
          <w:ilvl w:val="0"/>
          <w:numId w:val="3"/>
        </w:numPr>
        <w:rPr/>
      </w:pPr>
      <w:r>
        <w:rPr>
          <w:rFonts w:cs="Sylfaen"/>
          <w:color w:val="auto"/>
        </w:rPr>
        <w:t xml:space="preserve">BPEJ / skupina kvality: </w:t>
      </w:r>
      <w:r>
        <w:rPr>
          <w:rFonts w:cs="Sylfaen"/>
          <w:b w:val="false"/>
          <w:bCs w:val="false"/>
          <w:color w:val="auto"/>
          <w:u w:val="none"/>
        </w:rPr>
        <w:t>0114062/6</w:t>
      </w:r>
    </w:p>
    <w:p>
      <w:pPr>
        <w:pStyle w:val="Odrpro1"/>
        <w:numPr>
          <w:ilvl w:val="0"/>
          <w:numId w:val="3"/>
        </w:numPr>
        <w:rPr>
          <w:rFonts w:cs="Sylfaen"/>
          <w:color w:val="auto"/>
          <w:u w:val="none"/>
        </w:rPr>
      </w:pPr>
      <w:r>
        <w:rPr>
          <w:rFonts w:cs="Sylfaen"/>
          <w:color w:val="auto"/>
          <w:u w:val="none"/>
        </w:rPr>
        <w:t>Typ pôdy (podľa kódu BPEJ): fluvizeme (typ), stredne ťažké až ľahké, plytké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sz w:val="22"/>
          <w:szCs w:val="22"/>
          <w:u w:val="none"/>
          <w:lang w:val="sk-SK" w:eastAsia="zh-CN" w:bidi="ar-SA"/>
        </w:rPr>
        <w:t>Zoznam po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zemkov (reg. C)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časti pozemkov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1714/1-časť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Zoznam pozemkov (reg. E)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color w:val="auto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časti pozemkov</w:t>
      </w:r>
      <w:r>
        <w:rPr>
          <w:color w:val="auto"/>
        </w:rPr>
        <w:t xml:space="preserve">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1714/149, 1714/148</w:t>
      </w:r>
    </w:p>
    <w:p>
      <w:pPr>
        <w:pStyle w:val="Odstpro"/>
        <w:spacing w:before="57" w:after="0"/>
        <w:ind w:left="0" w:right="0" w:hanging="0"/>
        <w:rPr>
          <w:rFonts w:eastAsia="Webdings" w:cs="Sylfaen"/>
          <w:b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 xml:space="preserve">Lokalita </w:t>
      </w: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4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Funkčné využitie: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obč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ianske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 xml:space="preserve"> vybav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enie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Výmera: 0,3883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Záber PP: 0,3883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Druh pozemku: orná pôda</w:t>
      </w:r>
    </w:p>
    <w:p>
      <w:pPr>
        <w:pStyle w:val="Odrpro1"/>
        <w:numPr>
          <w:ilvl w:val="0"/>
          <w:numId w:val="3"/>
        </w:numPr>
        <w:rPr/>
      </w:pPr>
      <w:r>
        <w:rPr>
          <w:rFonts w:cs="Sylfaen"/>
          <w:color w:val="auto"/>
        </w:rPr>
        <w:t xml:space="preserve">BPEJ / skupina kvality: </w:t>
      </w:r>
      <w:r>
        <w:rPr>
          <w:rFonts w:cs="Sylfaen"/>
          <w:b w:val="false"/>
          <w:bCs w:val="false"/>
          <w:color w:val="auto"/>
          <w:u w:val="none"/>
        </w:rPr>
        <w:t>0119002/1</w:t>
      </w:r>
    </w:p>
    <w:p>
      <w:pPr>
        <w:pStyle w:val="Odrpro1"/>
        <w:numPr>
          <w:ilvl w:val="0"/>
          <w:numId w:val="3"/>
        </w:numPr>
        <w:rPr>
          <w:rFonts w:cs="Sylfaen"/>
          <w:color w:val="auto"/>
          <w:u w:val="none"/>
        </w:rPr>
      </w:pPr>
      <w:r>
        <w:rPr>
          <w:rFonts w:cs="Sylfaen"/>
          <w:color w:val="auto"/>
          <w:u w:val="none"/>
        </w:rPr>
        <w:t>Typ pôdy (podľa kódu BPEJ): čiernice typické, prevažne karbonátové stredne ťažké až ľahké, s priaznivým vodným režimom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sz w:val="22"/>
          <w:szCs w:val="22"/>
          <w:u w:val="none"/>
          <w:lang w:val="sk-SK" w:eastAsia="zh-CN" w:bidi="ar-SA"/>
        </w:rPr>
        <w:t>Zoznam po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zemkov (reg. C)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časti pozemkov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1726/6, 1726/26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Zoznam pozemkov (reg. E)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color w:val="auto"/>
        </w:rPr>
        <w:t xml:space="preserve">: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1725-časť</w:t>
      </w:r>
    </w:p>
    <w:p>
      <w:pPr>
        <w:pStyle w:val="Odstpro"/>
        <w:spacing w:before="57" w:after="0"/>
        <w:ind w:left="0" w:right="0" w:hanging="0"/>
        <w:rPr>
          <w:rFonts w:eastAsia="Webdings" w:cs="Sylfaen"/>
          <w:b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 xml:space="preserve">Lokalita </w:t>
      </w: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5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Funkčné využitie: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bývanie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Výmera: 2,4130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Záber PP: 2,4130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Druh pozemku: orná pôda</w:t>
      </w:r>
    </w:p>
    <w:p>
      <w:pPr>
        <w:pStyle w:val="Odrpro1"/>
        <w:numPr>
          <w:ilvl w:val="0"/>
          <w:numId w:val="3"/>
        </w:numPr>
        <w:rPr/>
      </w:pPr>
      <w:r>
        <w:rPr>
          <w:rFonts w:cs="Sylfaen"/>
          <w:color w:val="auto"/>
        </w:rPr>
        <w:t xml:space="preserve">BPEJ / skupina kvality: </w:t>
      </w:r>
      <w:r>
        <w:rPr>
          <w:rFonts w:cs="Sylfaen"/>
          <w:b w:val="false"/>
          <w:bCs w:val="false"/>
          <w:color w:val="auto"/>
          <w:u w:val="none"/>
        </w:rPr>
        <w:t>0119002/1, 0114062/6</w:t>
      </w:r>
    </w:p>
    <w:p>
      <w:pPr>
        <w:pStyle w:val="Odrpro1"/>
        <w:numPr>
          <w:ilvl w:val="0"/>
          <w:numId w:val="3"/>
        </w:numPr>
        <w:rPr>
          <w:rFonts w:cs="Sylfaen"/>
          <w:color w:val="auto"/>
          <w:u w:val="none"/>
        </w:rPr>
      </w:pPr>
      <w:r>
        <w:rPr>
          <w:rFonts w:cs="Sylfaen"/>
          <w:color w:val="auto"/>
          <w:u w:val="none"/>
        </w:rPr>
        <w:t>Typ pôdy (podľa kódu BPEJ): čiernice typické, prevažne karbonátové stredne ťažké až ľahké, s priaznivým vodným režimom; fluvizeme (typ), stredne ťažké až ľahké, plytké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sz w:val="22"/>
          <w:szCs w:val="22"/>
          <w:u w:val="none"/>
          <w:lang w:val="sk-SK" w:eastAsia="zh-CN" w:bidi="ar-SA"/>
        </w:rPr>
        <w:t>Zoznam po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zemkov (reg. C)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1726/30, 1726/31, 1726/32, 1726/33, 1726/29, 1726/34, 1726/35, 1726/36, 1726/37, 1726/27-časť, 1726/26-časť, 1726/6-časť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Zoznam pozemkov (reg. E)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color w:val="auto"/>
        </w:rPr>
        <w:t xml:space="preserve">: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1725-časť</w:t>
      </w:r>
    </w:p>
    <w:p>
      <w:pPr>
        <w:pStyle w:val="Odstpro"/>
        <w:spacing w:before="57" w:after="0"/>
        <w:ind w:left="0" w:right="0" w:hanging="0"/>
        <w:rPr>
          <w:rFonts w:eastAsia="Webdings" w:cs="Sylfaen"/>
          <w:b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 xml:space="preserve">Lokalita </w:t>
      </w: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6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Funkčné využitie: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bývanie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Výmera: 0,9891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Záber PP: 0,9891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Druh pozemku: orná pôda</w:t>
      </w:r>
    </w:p>
    <w:p>
      <w:pPr>
        <w:pStyle w:val="Odrpro1"/>
        <w:numPr>
          <w:ilvl w:val="0"/>
          <w:numId w:val="3"/>
        </w:numPr>
        <w:rPr/>
      </w:pPr>
      <w:r>
        <w:rPr>
          <w:rFonts w:cs="Sylfaen"/>
          <w:color w:val="auto"/>
        </w:rPr>
        <w:t xml:space="preserve">BPEJ / skupina kvality: </w:t>
      </w:r>
      <w:r>
        <w:rPr>
          <w:rFonts w:cs="Sylfaen"/>
          <w:b w:val="false"/>
          <w:bCs w:val="false"/>
          <w:color w:val="auto"/>
          <w:u w:val="none"/>
        </w:rPr>
        <w:t>0139002/2</w:t>
      </w:r>
    </w:p>
    <w:p>
      <w:pPr>
        <w:pStyle w:val="Odrpro1"/>
        <w:numPr>
          <w:ilvl w:val="0"/>
          <w:numId w:val="3"/>
        </w:numPr>
        <w:rPr>
          <w:rFonts w:cs="Sylfaen"/>
          <w:color w:val="auto"/>
          <w:u w:val="none"/>
        </w:rPr>
      </w:pPr>
      <w:r>
        <w:rPr>
          <w:rFonts w:cs="Sylfaen"/>
          <w:color w:val="auto"/>
          <w:u w:val="none"/>
        </w:rPr>
        <w:t>Typ pôdy (podľa kódu BPEJ): černozeme typické a černozeme hnedozemné na sprašiach, stredne ťažké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sz w:val="22"/>
          <w:szCs w:val="22"/>
          <w:u w:val="none"/>
          <w:lang w:val="sk-SK" w:eastAsia="zh-CN" w:bidi="ar-SA"/>
        </w:rPr>
        <w:t>Zoznam po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zemkov (reg. C)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k.ú.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Martinová: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119/2, 119/1, 113, 108,  105, 104, 102 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sz w:val="22"/>
          <w:szCs w:val="22"/>
          <w:u w:val="none"/>
          <w:lang w:val="sk-SK" w:eastAsia="zh-CN" w:bidi="ar-SA"/>
        </w:rPr>
        <w:t>Zoznam po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zemkov (reg.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E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)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k.ú.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Martinová: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103, 104, 105</w:t>
      </w:r>
    </w:p>
    <w:p>
      <w:pPr>
        <w:pStyle w:val="Odstpro"/>
        <w:spacing w:before="57" w:after="0"/>
        <w:ind w:left="0" w:right="0" w:hanging="0"/>
        <w:rPr>
          <w:rFonts w:eastAsia="Webdings" w:cs="Sylfaen"/>
          <w:b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 xml:space="preserve">Lokalita </w:t>
      </w: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7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Funkčné využitie: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bývanie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Výmera: 1,3980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Záber PP: 1,3980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Druh pozemku: orná pôda</w:t>
      </w:r>
    </w:p>
    <w:p>
      <w:pPr>
        <w:pStyle w:val="Odrpro1"/>
        <w:numPr>
          <w:ilvl w:val="0"/>
          <w:numId w:val="3"/>
        </w:numPr>
        <w:rPr/>
      </w:pPr>
      <w:r>
        <w:rPr>
          <w:rFonts w:cs="Sylfaen"/>
          <w:color w:val="auto"/>
        </w:rPr>
        <w:t xml:space="preserve">BPEJ / skupina kvality: </w:t>
      </w:r>
      <w:r>
        <w:rPr>
          <w:rFonts w:cs="Sylfaen"/>
          <w:b w:val="false"/>
          <w:bCs w:val="false"/>
          <w:color w:val="auto"/>
          <w:u w:val="none"/>
        </w:rPr>
        <w:t>0139002/2</w:t>
      </w:r>
    </w:p>
    <w:p>
      <w:pPr>
        <w:pStyle w:val="Odrpro1"/>
        <w:numPr>
          <w:ilvl w:val="0"/>
          <w:numId w:val="3"/>
        </w:numPr>
        <w:rPr>
          <w:rFonts w:cs="Sylfaen"/>
          <w:b w:val="false"/>
          <w:b w:val="false"/>
          <w:bCs w:val="false"/>
          <w:color w:val="auto"/>
          <w:u w:val="none"/>
        </w:rPr>
      </w:pPr>
      <w:r>
        <w:rPr>
          <w:rFonts w:cs="Sylfaen"/>
          <w:b w:val="false"/>
          <w:bCs w:val="false"/>
          <w:color w:val="auto"/>
          <w:u w:val="none"/>
        </w:rPr>
        <w:t>Typ pôdy (podľa kódu BPEJ): černozeme typické a černozeme hnedozemné na sprašiach, stredne ťažké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Zoznam pozemkov (reg. C) 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k.ú.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Martinová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419/1-časť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Zoznam pozemkov (reg. C) 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k.ú.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Martinová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419-časť</w:t>
      </w:r>
    </w:p>
    <w:p>
      <w:pPr>
        <w:pStyle w:val="Odstpro"/>
        <w:spacing w:before="57" w:after="0"/>
        <w:ind w:left="0" w:right="0" w:hanging="0"/>
        <w:rPr>
          <w:rFonts w:eastAsia="Webdings" w:cs="Sylfaen"/>
          <w:b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 xml:space="preserve">Lokalita </w:t>
      </w: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8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Funkčné využitie: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bývanie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Výmera: 1,9120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Záber PP: 1,9120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Druh pozemku: orná pôda</w:t>
      </w:r>
    </w:p>
    <w:p>
      <w:pPr>
        <w:pStyle w:val="Odrpro1"/>
        <w:numPr>
          <w:ilvl w:val="0"/>
          <w:numId w:val="3"/>
        </w:numPr>
        <w:rPr/>
      </w:pPr>
      <w:r>
        <w:rPr>
          <w:rFonts w:cs="Sylfaen"/>
          <w:color w:val="auto"/>
        </w:rPr>
        <w:t xml:space="preserve">BPEJ / skupina kvality: </w:t>
      </w:r>
      <w:r>
        <w:rPr>
          <w:rFonts w:cs="Sylfaen"/>
          <w:b w:val="false"/>
          <w:bCs w:val="false"/>
          <w:color w:val="auto"/>
          <w:u w:val="none"/>
        </w:rPr>
        <w:t>0119002/1, 0114062/6, 0139002/2</w:t>
      </w:r>
    </w:p>
    <w:p>
      <w:pPr>
        <w:pStyle w:val="Odrpro1"/>
        <w:numPr>
          <w:ilvl w:val="0"/>
          <w:numId w:val="3"/>
        </w:numPr>
        <w:rPr>
          <w:rFonts w:cs="Sylfaen"/>
          <w:b w:val="false"/>
          <w:b w:val="false"/>
          <w:bCs w:val="false"/>
          <w:color w:val="auto"/>
          <w:u w:val="none"/>
        </w:rPr>
      </w:pPr>
      <w:r>
        <w:rPr>
          <w:rFonts w:cs="Sylfaen"/>
          <w:b w:val="false"/>
          <w:bCs w:val="false"/>
          <w:color w:val="auto"/>
          <w:u w:val="none"/>
        </w:rPr>
        <w:t>Typ pôdy (podľa kódu BPEJ): čiernice typické, prevažne karbonátové stredne ťažké až ľahké, s priaznivým vodným režimom; fluvizeme (typ), stredne ťažké až ľahké, plytké; černozeme typické a černozeme hnedozemné na sprašiach, stredne ťažké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Zoznam pozemkov (reg. C) 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1726/1-časť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Zoznam pozemkov (reg. E)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</w:t>
      </w:r>
      <w:r>
        <w:rPr>
          <w:color w:val="auto"/>
        </w:rPr>
        <w:t>: čas</w:t>
      </w:r>
      <w:r>
        <w:rPr>
          <w:color w:val="auto"/>
        </w:rPr>
        <w:t>ti</w:t>
      </w:r>
      <w:r>
        <w:rPr>
          <w:color w:val="auto"/>
        </w:rPr>
        <w:t xml:space="preserve"> pozemk</w:t>
      </w:r>
      <w:r>
        <w:rPr>
          <w:color w:val="auto"/>
        </w:rPr>
        <w:t>ov</w:t>
      </w:r>
      <w:r>
        <w:rPr>
          <w:color w:val="auto"/>
        </w:rPr>
        <w:t xml:space="preserve">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1726/2, 1726/3, 1726/4</w:t>
      </w:r>
    </w:p>
    <w:p>
      <w:pPr>
        <w:pStyle w:val="Odstpro"/>
        <w:spacing w:before="57" w:after="0"/>
        <w:ind w:left="0" w:right="0" w:hanging="0"/>
        <w:rPr>
          <w:rFonts w:eastAsia="Webdings" w:cs="Sylfaen"/>
          <w:b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 xml:space="preserve">Lokalita </w:t>
      </w: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9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Funkčné využitie: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bývanie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Výmera: 1,6420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Záber PP: 1,6420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Druh pozemku: orná pôda</w:t>
      </w:r>
    </w:p>
    <w:p>
      <w:pPr>
        <w:pStyle w:val="Odrpro1"/>
        <w:numPr>
          <w:ilvl w:val="0"/>
          <w:numId w:val="3"/>
        </w:numPr>
        <w:rPr/>
      </w:pPr>
      <w:r>
        <w:rPr>
          <w:rFonts w:cs="Sylfaen"/>
          <w:color w:val="auto"/>
        </w:rPr>
        <w:t xml:space="preserve">BPEJ / skupina kvality: </w:t>
      </w:r>
      <w:r>
        <w:rPr>
          <w:rFonts w:cs="Sylfaen"/>
          <w:b w:val="false"/>
          <w:bCs w:val="false"/>
          <w:color w:val="auto"/>
          <w:u w:val="none"/>
        </w:rPr>
        <w:t>0119002/1, 0114062/6, 0139002/2</w:t>
      </w:r>
    </w:p>
    <w:p>
      <w:pPr>
        <w:pStyle w:val="Odrpro1"/>
        <w:numPr>
          <w:ilvl w:val="0"/>
          <w:numId w:val="3"/>
        </w:numPr>
        <w:rPr>
          <w:rFonts w:cs="Sylfaen"/>
          <w:b w:val="false"/>
          <w:b w:val="false"/>
          <w:bCs w:val="false"/>
          <w:color w:val="auto"/>
          <w:u w:val="none"/>
        </w:rPr>
      </w:pPr>
      <w:r>
        <w:rPr>
          <w:rFonts w:cs="Sylfaen"/>
          <w:b w:val="false"/>
          <w:bCs w:val="false"/>
          <w:color w:val="auto"/>
          <w:u w:val="none"/>
        </w:rPr>
        <w:t>Typ pôdy (podľa kódu BPEJ): čiernice typické, prevažne karbonátové stredne ťažké až ľahké, s priaznivým vodným režimom; fluvizeme (typ), stredne ťažké až ľahké, plytké; černozeme typické a černozeme hnedozemné na sprašiach, stredne ťažké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Zoznam pozemkov (reg. C) 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1726/1-časť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Zoznam pozemkov (reg. E)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</w:t>
      </w:r>
      <w:r>
        <w:rPr>
          <w:color w:val="auto"/>
        </w:rPr>
        <w:t>: čas</w:t>
      </w:r>
      <w:r>
        <w:rPr>
          <w:color w:val="auto"/>
        </w:rPr>
        <w:t>ti</w:t>
      </w:r>
      <w:r>
        <w:rPr>
          <w:color w:val="auto"/>
        </w:rPr>
        <w:t xml:space="preserve"> pozemk</w:t>
      </w:r>
      <w:r>
        <w:rPr>
          <w:color w:val="auto"/>
        </w:rPr>
        <w:t>ov</w:t>
      </w:r>
      <w:r>
        <w:rPr>
          <w:color w:val="auto"/>
        </w:rPr>
        <w:t xml:space="preserve">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1726/3, 1726/4</w:t>
      </w:r>
    </w:p>
    <w:p>
      <w:pPr>
        <w:pStyle w:val="Odstpro"/>
        <w:spacing w:before="57" w:after="0"/>
        <w:ind w:left="0" w:right="0" w:hanging="0"/>
        <w:rPr>
          <w:rFonts w:eastAsia="Webdings" w:cs="Sylfaen"/>
          <w:b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 xml:space="preserve">Lokalita </w:t>
      </w: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10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Funkčné využitie: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obč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ianske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 xml:space="preserve"> vybav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enie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Výmera: 1,2510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Záber PP: 1,2510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Druh pozemku: orná pôda</w:t>
      </w:r>
    </w:p>
    <w:p>
      <w:pPr>
        <w:pStyle w:val="Odrpro1"/>
        <w:numPr>
          <w:ilvl w:val="0"/>
          <w:numId w:val="3"/>
        </w:numPr>
        <w:rPr/>
      </w:pPr>
      <w:r>
        <w:rPr>
          <w:rFonts w:cs="Sylfaen"/>
          <w:color w:val="auto"/>
        </w:rPr>
        <w:t xml:space="preserve">BPEJ / skupina kvality: </w:t>
      </w:r>
      <w:r>
        <w:rPr>
          <w:rFonts w:cs="Sylfaen"/>
          <w:b w:val="false"/>
          <w:bCs w:val="false"/>
          <w:color w:val="auto"/>
          <w:u w:val="none"/>
        </w:rPr>
        <w:t>0139002/2</w:t>
      </w:r>
    </w:p>
    <w:p>
      <w:pPr>
        <w:pStyle w:val="Odrpro1"/>
        <w:numPr>
          <w:ilvl w:val="0"/>
          <w:numId w:val="3"/>
        </w:numPr>
        <w:rPr>
          <w:rFonts w:cs="Sylfaen"/>
          <w:b w:val="false"/>
          <w:b w:val="false"/>
          <w:bCs w:val="false"/>
          <w:color w:val="auto"/>
          <w:u w:val="none"/>
        </w:rPr>
      </w:pPr>
      <w:r>
        <w:rPr>
          <w:rFonts w:cs="Sylfaen"/>
          <w:b w:val="false"/>
          <w:bCs w:val="false"/>
          <w:color w:val="auto"/>
          <w:u w:val="none"/>
        </w:rPr>
        <w:t>Typ pôdy (podľa kódu BPEJ): černozeme typické a černozeme hnedozemné na sprašiach, stredne ťažké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Zoznam pozemkov (reg. C) 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1726/1-časť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Zoznam pozemkov (reg. C) 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k.ú.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Martinová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419/1-časť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Zoznam pozemkov (reg.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E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) 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1726/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5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-časť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Zoznam pozemkov (reg.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E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) 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k.ú.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Martinová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395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-časť,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396-časť</w:t>
      </w:r>
    </w:p>
    <w:p>
      <w:pPr>
        <w:pStyle w:val="Odstpro"/>
        <w:spacing w:before="57" w:after="0"/>
        <w:ind w:left="0" w:right="0" w:hanging="0"/>
        <w:rPr>
          <w:rFonts w:eastAsia="Webdings" w:cs="Sylfaen"/>
          <w:b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 xml:space="preserve">Lokalita </w:t>
      </w: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1</w:t>
      </w: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1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Funkčné využitie: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obč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ianske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 xml:space="preserve"> vybav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enie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Výmera: 0,5075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Záber PP: 0,5075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Druh pozemku: orná pôda</w:t>
      </w:r>
    </w:p>
    <w:p>
      <w:pPr>
        <w:pStyle w:val="Odrpro1"/>
        <w:numPr>
          <w:ilvl w:val="0"/>
          <w:numId w:val="3"/>
        </w:numPr>
        <w:rPr/>
      </w:pPr>
      <w:r>
        <w:rPr>
          <w:rFonts w:cs="Sylfaen"/>
          <w:color w:val="auto"/>
        </w:rPr>
        <w:t xml:space="preserve">BPEJ / skupina kvality: </w:t>
      </w:r>
      <w:r>
        <w:rPr>
          <w:rFonts w:cs="Sylfaen"/>
          <w:b w:val="false"/>
          <w:bCs w:val="false"/>
          <w:color w:val="auto"/>
          <w:u w:val="none"/>
        </w:rPr>
        <w:t>0139002/2, 0119002/1</w:t>
      </w:r>
    </w:p>
    <w:p>
      <w:pPr>
        <w:pStyle w:val="Odrpro1"/>
        <w:numPr>
          <w:ilvl w:val="0"/>
          <w:numId w:val="3"/>
        </w:numPr>
        <w:rPr>
          <w:rFonts w:cs="Sylfaen"/>
          <w:b w:val="false"/>
          <w:b w:val="false"/>
          <w:bCs w:val="false"/>
          <w:color w:val="auto"/>
          <w:u w:val="none"/>
        </w:rPr>
      </w:pPr>
      <w:r>
        <w:rPr>
          <w:rFonts w:cs="Sylfaen"/>
          <w:b w:val="false"/>
          <w:bCs w:val="false"/>
          <w:color w:val="auto"/>
          <w:u w:val="none"/>
        </w:rPr>
        <w:t>Typ pôdy (podľa kódu BPEJ): černozeme typické a černozeme hnedozemné na sprašiach, stredne ťažké;  čiernice typické, prevažne karbonátové stredne ťažké až ľahké, s priaznivým vodným režimom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Zoznam pozemkov (reg. C) 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1726/1-časť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Zoznam pozemkov (reg. C) 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k.ú.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Martinová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419/1-časť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Zoznam pozemkov (reg.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E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) 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1726/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5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-časť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Zoznam pozemkov (reg.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E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) 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k.ú.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Martinová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395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-časť,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396-časť</w:t>
      </w:r>
    </w:p>
    <w:p>
      <w:pPr>
        <w:pStyle w:val="Odstpro"/>
        <w:spacing w:before="57" w:after="0"/>
        <w:ind w:left="0" w:right="0" w:hanging="0"/>
        <w:rPr>
          <w:rFonts w:eastAsia="Webdings" w:cs="Sylfaen"/>
          <w:b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 xml:space="preserve">Lokalita </w:t>
      </w: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1</w:t>
      </w: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2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Funkčné využitie: </w:t>
      </w:r>
      <w:r>
        <w:rPr>
          <w:rFonts w:eastAsia="Times New Roman" w:cs="Arial"/>
          <w:color w:val="auto"/>
          <w:kern w:val="0"/>
          <w:sz w:val="22"/>
          <w:szCs w:val="22"/>
          <w:lang w:val="sk-SK" w:eastAsia="zh-CN" w:bidi="ar-SA"/>
        </w:rPr>
        <w:t>bývanie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Výmera: 2,4940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Záber PP: 2,4940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Druh pozemku: orná pôda</w:t>
      </w:r>
    </w:p>
    <w:p>
      <w:pPr>
        <w:pStyle w:val="Odrpro1"/>
        <w:numPr>
          <w:ilvl w:val="0"/>
          <w:numId w:val="3"/>
        </w:numPr>
        <w:rPr/>
      </w:pPr>
      <w:r>
        <w:rPr>
          <w:rFonts w:cs="Sylfaen"/>
          <w:color w:val="auto"/>
        </w:rPr>
        <w:t xml:space="preserve">BPEJ / skupina kvality: </w:t>
      </w:r>
      <w:r>
        <w:rPr>
          <w:rFonts w:cs="Sylfaen"/>
          <w:b w:val="false"/>
          <w:bCs w:val="false"/>
          <w:color w:val="auto"/>
          <w:u w:val="none"/>
        </w:rPr>
        <w:t>0114062/6, 0139002/2</w:t>
      </w:r>
    </w:p>
    <w:p>
      <w:pPr>
        <w:pStyle w:val="Odrpro1"/>
        <w:numPr>
          <w:ilvl w:val="0"/>
          <w:numId w:val="3"/>
        </w:numPr>
        <w:rPr>
          <w:rFonts w:cs="Sylfaen"/>
          <w:b w:val="false"/>
          <w:b w:val="false"/>
          <w:bCs w:val="false"/>
          <w:color w:val="auto"/>
          <w:u w:val="none"/>
        </w:rPr>
      </w:pPr>
      <w:r>
        <w:rPr>
          <w:rFonts w:cs="Sylfaen"/>
          <w:b w:val="false"/>
          <w:bCs w:val="false"/>
          <w:color w:val="auto"/>
          <w:u w:val="none"/>
        </w:rPr>
        <w:t>Typ pôdy (podľa kódu BPEJ): fluvizeme (typ), stredne ťažké až ľahké, plytké; černozeme typické a černozeme hnedozemné na sprašiach, stredne ťažké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Zoznam pozemkov (reg. C) 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časti pozemkov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1714/1-časť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Zoznam pozemkov (reg. E)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k.ú. Vajka n/Ž.</w:t>
      </w:r>
      <w:r>
        <w:rPr>
          <w:color w:val="auto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časti pozemkov</w:t>
      </w:r>
      <w:r>
        <w:rPr>
          <w:color w:val="auto"/>
        </w:rPr>
        <w:t xml:space="preserve">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1714/147, 1417/146</w:t>
      </w:r>
    </w:p>
    <w:p>
      <w:pPr>
        <w:pStyle w:val="Odstpro"/>
        <w:spacing w:before="57" w:after="0"/>
        <w:ind w:left="0" w:right="0" w:hanging="0"/>
        <w:rPr>
          <w:rFonts w:eastAsia="Webdings" w:cs="Sylfaen"/>
          <w:b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 xml:space="preserve">Lokalita </w:t>
      </w: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1</w:t>
      </w: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3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Funkčné využitie: </w:t>
      </w:r>
      <w:r>
        <w:rPr>
          <w:rFonts w:eastAsia="Times New Roman" w:cs="Arial"/>
          <w:color w:val="auto"/>
          <w:kern w:val="0"/>
          <w:sz w:val="22"/>
          <w:szCs w:val="22"/>
          <w:lang w:val="sk-SK" w:eastAsia="zh-CN" w:bidi="ar-SA"/>
        </w:rPr>
        <w:t>bývanie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Výmera: 5,4680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Záber PP: 5,4680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Druh pozemku: orná pôda</w:t>
      </w:r>
    </w:p>
    <w:p>
      <w:pPr>
        <w:pStyle w:val="Odrpro1"/>
        <w:numPr>
          <w:ilvl w:val="0"/>
          <w:numId w:val="3"/>
        </w:numPr>
        <w:rPr/>
      </w:pPr>
      <w:r>
        <w:rPr>
          <w:rFonts w:cs="Sylfaen"/>
          <w:color w:val="auto"/>
        </w:rPr>
        <w:t xml:space="preserve">BPEJ / skupina kvality: </w:t>
      </w:r>
      <w:r>
        <w:rPr>
          <w:rFonts w:cs="Sylfaen"/>
          <w:b w:val="false"/>
          <w:bCs w:val="false"/>
          <w:color w:val="auto"/>
          <w:u w:val="none"/>
        </w:rPr>
        <w:t>0139002/2</w:t>
      </w:r>
    </w:p>
    <w:p>
      <w:pPr>
        <w:pStyle w:val="Odrpro1"/>
        <w:numPr>
          <w:ilvl w:val="0"/>
          <w:numId w:val="3"/>
        </w:numPr>
        <w:rPr>
          <w:rFonts w:cs="Sylfaen"/>
          <w:b w:val="false"/>
          <w:b w:val="false"/>
          <w:bCs w:val="false"/>
          <w:color w:val="auto"/>
          <w:u w:val="none"/>
        </w:rPr>
      </w:pPr>
      <w:r>
        <w:rPr>
          <w:rFonts w:cs="Sylfaen"/>
          <w:b w:val="false"/>
          <w:bCs w:val="false"/>
          <w:color w:val="auto"/>
          <w:u w:val="none"/>
        </w:rPr>
        <w:t>Typ pôdy (podľa kódu BPEJ): černozeme typické a černozeme hnedozemné na sprašiach, stredne ťažké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Zoznam pozemkov (reg. C) 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k.ú.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Martinová: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377/1-časť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Zoznam pozemkov (reg. E)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k.ú.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Martinová</w:t>
      </w:r>
      <w:r>
        <w:rPr>
          <w:color w:val="auto"/>
        </w:rPr>
        <w:t>: čas</w:t>
      </w:r>
      <w:r>
        <w:rPr>
          <w:color w:val="auto"/>
        </w:rPr>
        <w:t>ti</w:t>
      </w:r>
      <w:r>
        <w:rPr>
          <w:color w:val="auto"/>
        </w:rPr>
        <w:t xml:space="preserve"> pozemk</w:t>
      </w:r>
      <w:r>
        <w:rPr>
          <w:color w:val="auto"/>
        </w:rPr>
        <w:t>ov</w:t>
      </w:r>
      <w:r>
        <w:rPr>
          <w:color w:val="auto"/>
        </w:rPr>
        <w:t xml:space="preserve"> </w:t>
      </w:r>
      <w:r>
        <w:rPr>
          <w:color w:val="auto"/>
        </w:rPr>
        <w:t xml:space="preserve">394/3, 393/1, 422/3, 392, 390/3, 389/1, 388/3, 387/1, 386/3, 385/1, 384/3, 383/6, 385/1, 384/3, 383/6, 383/5, 383/1, 382/3, 381/1, 380/3, 379/1, 378/3, 377/1, 376/3, 375/1, 374/3, 373/4, 373/8, 373/7, 373/3, </w:t>
      </w:r>
      <w:r>
        <w:rPr>
          <w:color w:val="auto"/>
        </w:rPr>
        <w:t>372/1, 371/6, 371/1, 370/3, 369/1, 368/3, 367/1, 366/3, 365/1, 364/3</w:t>
      </w:r>
    </w:p>
    <w:p>
      <w:pPr>
        <w:pStyle w:val="Odstpro"/>
        <w:spacing w:before="57" w:after="0"/>
        <w:ind w:left="0" w:right="0" w:hanging="0"/>
        <w:rPr>
          <w:rFonts w:eastAsia="Webdings" w:cs="Sylfaen"/>
          <w:b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</w:pP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 xml:space="preserve">Lokalita </w:t>
      </w: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1</w:t>
      </w:r>
      <w:r>
        <w:rPr>
          <w:rFonts w:eastAsia="Webdings" w:cs="Sylfaen"/>
          <w:b/>
          <w:bCs/>
          <w:color w:val="auto"/>
          <w:kern w:val="0"/>
          <w:sz w:val="22"/>
          <w:szCs w:val="22"/>
          <w:u w:val="none"/>
          <w:lang w:val="sk-SK" w:eastAsia="zh-CN" w:bidi="ar-SA"/>
        </w:rPr>
        <w:t>4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Funkčné využitie: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bývanie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Výmera: 5,3810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Záber PP: 5,3810 ha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>Druh pozemku: orná pôda</w:t>
      </w:r>
    </w:p>
    <w:p>
      <w:pPr>
        <w:pStyle w:val="Odrpro1"/>
        <w:numPr>
          <w:ilvl w:val="0"/>
          <w:numId w:val="3"/>
        </w:numPr>
        <w:rPr/>
      </w:pPr>
      <w:r>
        <w:rPr>
          <w:rFonts w:cs="Sylfaen"/>
          <w:color w:val="auto"/>
        </w:rPr>
        <w:t xml:space="preserve">BPEJ / skupina kvality: </w:t>
      </w:r>
      <w:r>
        <w:rPr>
          <w:rFonts w:cs="Sylfaen"/>
          <w:b w:val="false"/>
          <w:bCs w:val="false"/>
          <w:color w:val="auto"/>
          <w:u w:val="none"/>
        </w:rPr>
        <w:t>0139002/2</w:t>
      </w:r>
    </w:p>
    <w:p>
      <w:pPr>
        <w:pStyle w:val="Odrpro1"/>
        <w:numPr>
          <w:ilvl w:val="0"/>
          <w:numId w:val="3"/>
        </w:numPr>
        <w:rPr>
          <w:rFonts w:cs="Sylfaen"/>
          <w:b w:val="false"/>
          <w:b w:val="false"/>
          <w:bCs w:val="false"/>
          <w:color w:val="auto"/>
          <w:u w:val="none"/>
        </w:rPr>
      </w:pPr>
      <w:r>
        <w:rPr>
          <w:rFonts w:cs="Sylfaen"/>
          <w:b w:val="false"/>
          <w:bCs w:val="false"/>
          <w:color w:val="auto"/>
          <w:u w:val="none"/>
        </w:rPr>
        <w:t>Typ pôdy (podľa kódu BPEJ): černozeme typické a černozeme hnedozemné na sprašiach, stredne ťažké</w:t>
      </w:r>
    </w:p>
    <w:p>
      <w:pPr>
        <w:pStyle w:val="Odrpro1"/>
        <w:numPr>
          <w:ilvl w:val="0"/>
          <w:numId w:val="3"/>
        </w:numPr>
        <w:rPr>
          <w:color w:val="auto"/>
        </w:rPr>
      </w:pP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Zoznam pozemkov (reg. C) 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k.ú.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Martinová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: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419/1-časť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418" w:right="1418" w:header="709" w:top="1418" w:footer="709" w:bottom="1418" w:gutter="0"/>
          <w:pgNumType w:fmt="decimal"/>
          <w:formProt w:val="false"/>
          <w:textDirection w:val="lrTb"/>
          <w:docGrid w:type="default" w:linePitch="360" w:charSpace="0"/>
        </w:sectPr>
        <w:pStyle w:val="Odrpro1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Zoznam pozemkov (reg. E)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–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 xml:space="preserve">k.ú. </w:t>
      </w:r>
      <w:r>
        <w:rPr>
          <w:rFonts w:eastAsia="Webdings" w:cs="Sylfaen"/>
          <w:b w:val="false"/>
          <w:bCs w:val="false"/>
          <w:color w:val="auto"/>
          <w:kern w:val="0"/>
          <w:sz w:val="22"/>
          <w:szCs w:val="22"/>
          <w:u w:val="none"/>
          <w:lang w:val="sk-SK" w:eastAsia="zh-CN" w:bidi="ar-SA"/>
        </w:rPr>
        <w:t>Martinová</w:t>
      </w:r>
      <w:r>
        <w:rPr>
          <w:color w:val="auto"/>
        </w:rPr>
        <w:t>: čas</w:t>
      </w:r>
      <w:r>
        <w:rPr>
          <w:color w:val="auto"/>
        </w:rPr>
        <w:t>ti</w:t>
      </w:r>
      <w:r>
        <w:rPr>
          <w:color w:val="auto"/>
        </w:rPr>
        <w:t xml:space="preserve"> pozemk</w:t>
      </w:r>
      <w:r>
        <w:rPr>
          <w:color w:val="auto"/>
        </w:rPr>
        <w:t>ov</w:t>
      </w:r>
      <w:r>
        <w:rPr>
          <w:color w:val="auto"/>
        </w:rPr>
        <w:t xml:space="preserve"> </w:t>
      </w:r>
      <w:r>
        <w:rPr>
          <w:rFonts w:eastAsia="Times New Roman" w:cs="Spectra BT"/>
          <w:color w:val="auto"/>
          <w:kern w:val="0"/>
          <w:sz w:val="22"/>
          <w:szCs w:val="22"/>
          <w:lang w:val="sk-SK" w:eastAsia="zh-CN" w:bidi="ar-SA"/>
        </w:rPr>
        <w:t>397, 398, 399, 400, 401, 402, 403, 404, 405, 406, 407, 408, 409, 410, 411, 412, 413, 414, 415, 416, 417, 418</w:t>
      </w:r>
    </w:p>
    <w:p>
      <w:pPr>
        <w:pStyle w:val="Obrnadpro"/>
        <w:spacing w:before="0" w:after="102"/>
        <w:ind w:left="0" w:right="0" w:hanging="0"/>
        <w:rPr/>
      </w:pPr>
      <w:r>
        <w:rPr/>
        <w:t xml:space="preserve">Tabuľka 1 Prehľad dôsledkov stavebných zámerov a iných zámerov na poľnohospodárskej pôde navrhovaných v rámci Územného plánu obce </w:t>
      </w:r>
      <w:r>
        <w:rPr>
          <w:rFonts w:eastAsia="Times New Roman" w:cs="Spectra BT"/>
          <w:b/>
          <w:bCs/>
          <w:color w:val="auto"/>
          <w:kern w:val="0"/>
          <w:sz w:val="22"/>
          <w:szCs w:val="22"/>
          <w:lang w:val="sk-SK" w:eastAsia="zh-CN" w:bidi="ar-SA"/>
        </w:rPr>
        <w:t>Lúčnica nad Žitavou</w:t>
      </w:r>
    </w:p>
    <w:p>
      <w:pPr>
        <w:pStyle w:val="Odstpro"/>
        <w:spacing w:lineRule="auto" w:line="240" w:before="113" w:after="0"/>
        <w:ind w:left="0" w:right="0" w:hanging="0"/>
        <w:rPr/>
      </w:pPr>
      <w:r>
        <w:rPr>
          <w:rFonts w:cs="Sylfaen"/>
        </w:rPr>
        <w:t xml:space="preserve">Žiadateľ: Obec </w:t>
      </w:r>
      <w:r>
        <w:rPr>
          <w:rFonts w:cs="Sylfaen"/>
        </w:rPr>
        <w:t>Lúčnica nad Žitavou</w:t>
      </w:r>
    </w:p>
    <w:p>
      <w:pPr>
        <w:pStyle w:val="Odstpro"/>
        <w:spacing w:lineRule="auto" w:line="240" w:before="113" w:after="0"/>
        <w:ind w:left="0" w:right="0" w:hanging="0"/>
        <w:rPr>
          <w:rFonts w:cs="Sylfaen"/>
        </w:rPr>
      </w:pPr>
      <w:r>
        <w:rPr>
          <w:rFonts w:cs="Sylfaen"/>
        </w:rPr>
        <w:t>Spracovateľ: doc. Ing.arch. Jaroslav Coplák, PhD., Ing. Marta Copláková</w:t>
      </w:r>
    </w:p>
    <w:p>
      <w:pPr>
        <w:pStyle w:val="Odstpro"/>
        <w:spacing w:lineRule="auto" w:line="240" w:before="113" w:after="0"/>
        <w:ind w:left="0" w:right="0" w:hanging="0"/>
        <w:rPr/>
      </w:pPr>
      <w:r>
        <w:rPr>
          <w:rFonts w:cs="Sylfaen"/>
        </w:rPr>
        <w:t xml:space="preserve">Kraj: </w:t>
      </w:r>
      <w:r>
        <w:rPr>
          <w:rFonts w:eastAsia="Times New Roman" w:cs="Sylfaen"/>
          <w:color w:val="auto"/>
          <w:kern w:val="0"/>
          <w:sz w:val="22"/>
          <w:szCs w:val="22"/>
          <w:lang w:val="sk-SK" w:eastAsia="zh-CN" w:bidi="ar-SA"/>
        </w:rPr>
        <w:t>Nitriansky</w:t>
      </w:r>
    </w:p>
    <w:p>
      <w:pPr>
        <w:pStyle w:val="Odstpro"/>
        <w:spacing w:lineRule="auto" w:line="240" w:before="113" w:after="0"/>
        <w:ind w:left="0" w:right="0" w:hanging="0"/>
        <w:rPr/>
      </w:pPr>
      <w:r>
        <w:rPr>
          <w:rFonts w:cs="Sylfaen"/>
        </w:rPr>
        <w:t xml:space="preserve">Obvod: </w:t>
      </w:r>
      <w:r>
        <w:rPr>
          <w:rFonts w:eastAsia="Times New Roman" w:cs="Sylfaen"/>
          <w:color w:val="auto"/>
          <w:kern w:val="0"/>
          <w:sz w:val="22"/>
          <w:szCs w:val="22"/>
          <w:lang w:val="sk-SK" w:eastAsia="zh-CN" w:bidi="ar-SA"/>
        </w:rPr>
        <w:t>Nitra</w:t>
      </w:r>
    </w:p>
    <w:p>
      <w:pPr>
        <w:pStyle w:val="Odstpro"/>
        <w:spacing w:lineRule="auto" w:line="240" w:before="113" w:after="0"/>
        <w:ind w:left="0" w:right="0" w:hanging="0"/>
        <w:rPr>
          <w:color w:val="auto"/>
        </w:rPr>
      </w:pPr>
      <w:r>
        <w:rPr>
          <w:rFonts w:cs="Sylfaen"/>
          <w:color w:val="auto"/>
        </w:rPr>
        <w:t xml:space="preserve">Dátum:  </w:t>
      </w:r>
      <w:r>
        <w:rPr>
          <w:rFonts w:cs="Sylfaen"/>
          <w:color w:val="auto"/>
        </w:rPr>
        <w:t>nov</w:t>
      </w:r>
      <w:r>
        <w:rPr>
          <w:rFonts w:eastAsia="Times New Roman" w:cs="Sylfaen"/>
          <w:color w:val="auto"/>
          <w:kern w:val="0"/>
          <w:sz w:val="22"/>
          <w:szCs w:val="22"/>
          <w:lang w:val="sk-SK" w:eastAsia="zh-CN" w:bidi="ar-SA"/>
        </w:rPr>
        <w:t>ember</w:t>
      </w:r>
      <w:r>
        <w:rPr>
          <w:rFonts w:cs="Sylfaen"/>
          <w:color w:val="auto"/>
        </w:rPr>
        <w:t xml:space="preserve"> 20</w:t>
      </w:r>
      <w:r>
        <w:rPr>
          <w:rFonts w:eastAsia="Times New Roman" w:cs="Sylfaen"/>
          <w:b w:val="false"/>
          <w:bCs w:val="false"/>
          <w:color w:val="auto"/>
          <w:sz w:val="22"/>
          <w:szCs w:val="22"/>
          <w:lang w:val="sk-SK" w:eastAsia="zh-CN" w:bidi="ar-SA"/>
        </w:rPr>
        <w:t>2</w:t>
      </w:r>
      <w:r>
        <w:rPr>
          <w:rFonts w:eastAsia="Times New Roman" w:cs="Sylfaen"/>
          <w:b w:val="false"/>
          <w:bCs w:val="false"/>
          <w:color w:val="auto"/>
          <w:sz w:val="22"/>
          <w:szCs w:val="22"/>
          <w:lang w:val="sk-SK" w:eastAsia="zh-CN" w:bidi="ar-SA"/>
        </w:rPr>
        <w:t xml:space="preserve">4, </w:t>
      </w:r>
      <w:r>
        <w:rPr>
          <w:rFonts w:eastAsia="Times New Roman" w:cs="Sylfaen"/>
          <w:b w:val="false"/>
          <w:bCs w:val="false"/>
          <w:color w:val="auto"/>
          <w:sz w:val="22"/>
          <w:szCs w:val="22"/>
          <w:lang w:val="sk-SK" w:eastAsia="zh-CN" w:bidi="ar-SA"/>
        </w:rPr>
        <w:t>uprav. február 2025</w:t>
      </w:r>
    </w:p>
    <w:p>
      <w:pPr>
        <w:pStyle w:val="Odstpro"/>
        <w:spacing w:lineRule="auto" w:line="240" w:before="113" w:after="0"/>
        <w:ind w:left="0" w:right="0" w:hanging="0"/>
        <w:rPr>
          <w:rFonts w:eastAsia="Times New Roman" w:cs="Sylfaen"/>
          <w:b w:val="false"/>
          <w:b w:val="false"/>
          <w:bCs w:val="false"/>
          <w:color w:val="auto"/>
          <w:sz w:val="22"/>
          <w:szCs w:val="22"/>
          <w:lang w:val="sk-SK" w:eastAsia="zh-CN" w:bidi="ar-SA"/>
        </w:rPr>
      </w:pPr>
      <w:r>
        <w:rPr>
          <w:rFonts w:eastAsia="Times New Roman" w:cs="Sylfaen"/>
          <w:b w:val="false"/>
          <w:bCs w:val="false"/>
          <w:color w:val="auto"/>
          <w:sz w:val="22"/>
          <w:szCs w:val="22"/>
          <w:lang w:val="sk-SK" w:eastAsia="zh-CN" w:bidi="ar-SA"/>
        </w:rPr>
      </w:r>
    </w:p>
    <w:tbl>
      <w:tblPr>
        <w:tblW w:w="14475" w:type="dxa"/>
        <w:jc w:val="left"/>
        <w:tblInd w:w="-303" w:type="dxa"/>
        <w:tblLayout w:type="fixed"/>
        <w:tblCellMar>
          <w:top w:w="0" w:type="dxa"/>
          <w:left w:w="68" w:type="dxa"/>
          <w:bottom w:w="0" w:type="dxa"/>
          <w:right w:w="68" w:type="dxa"/>
        </w:tblCellMar>
      </w:tblPr>
      <w:tblGrid>
        <w:gridCol w:w="1185"/>
        <w:gridCol w:w="976"/>
        <w:gridCol w:w="1016"/>
        <w:gridCol w:w="967"/>
        <w:gridCol w:w="952"/>
        <w:gridCol w:w="1257"/>
        <w:gridCol w:w="903"/>
        <w:gridCol w:w="1242"/>
        <w:gridCol w:w="965"/>
        <w:gridCol w:w="1471"/>
        <w:gridCol w:w="1261"/>
        <w:gridCol w:w="900"/>
        <w:gridCol w:w="1380"/>
      </w:tblGrid>
      <w:tr>
        <w:trPr>
          <w:tblHeader w:val="true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64" w:before="57" w:after="0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 xml:space="preserve">Číslo lok.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Katastr.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 xml:space="preserve">územie 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Funkčné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využitie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Výmera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lokality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v ha</w:t>
            </w:r>
          </w:p>
        </w:tc>
        <w:tc>
          <w:tcPr>
            <w:tcW w:w="5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Predpokladaná výmera PP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spolu              v ZÚO                        mimo ZÚO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 xml:space="preserve">v ha          BPEJ/SK    výmera     BPEJ/ SK   výmera 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 xml:space="preserve">                                      </w:t>
            </w: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v ha                             v ha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Užívateľ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PP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Vybud.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hydrom.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zariad.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Čas.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etapa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realiz.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 xml:space="preserve">Iná 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Spectra BT" w:hAnsi="Spectra BT" w:eastAsia="Webdings" w:cs="Sylfaen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bCs/>
                <w:color w:val="auto"/>
                <w:sz w:val="22"/>
                <w:szCs w:val="22"/>
              </w:rPr>
              <w:t>inform.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1</w:t>
            </w:r>
          </w:p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Vajka n/Ž.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šport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0,2959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0,2959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0024004/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0,2959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obec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VPS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2</w:t>
            </w:r>
          </w:p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Vajka n/Ž.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0,7606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0,7606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0114062/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6</w:t>
            </w:r>
          </w:p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0,7606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3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Vajka n/Ž.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2,3380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2,3380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0114062/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6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2,3380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Vajka n/Ž.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obč. vybav.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0,3883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0,3883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0119002/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1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0,3883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Alt.= nulový var.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Vajka n/Ž.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2,4130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2,4130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0119002/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1</w:t>
            </w:r>
          </w:p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0114062/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6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2,3784</w:t>
            </w:r>
          </w:p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0,0346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 xml:space="preserve">Alt.= nulový var. </w:t>
            </w: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časť lokality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6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Marti-nová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0,9891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0,9891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0139002/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2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0,9891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I.,II.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Alt.= nulový var.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7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Marti-nová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1,3980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1,3980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0139002/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2</w:t>
            </w:r>
          </w:p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1,3980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obec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Alt.= nulový var.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Vajka n/Ž.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1,9120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1,9120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0119002/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1</w:t>
            </w:r>
          </w:p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0114062/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6</w:t>
            </w:r>
          </w:p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0139002/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2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1,5825</w:t>
            </w:r>
          </w:p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0,2572</w:t>
            </w:r>
          </w:p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0,0723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 xml:space="preserve">Alt.= nulový var. </w:t>
            </w: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časť lokality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Vajka n/Ž.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b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 xml:space="preserve">ývanie 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BD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1,6420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1,6420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0119002/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1</w:t>
            </w:r>
          </w:p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0114062/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6</w:t>
            </w:r>
          </w:p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0139002/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2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0,2315</w:t>
            </w:r>
          </w:p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0,9278</w:t>
            </w:r>
          </w:p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0,4827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</w:t>
            </w:r>
            <w:r>
              <w:rPr>
                <w:rFonts w:ascii="Spectra BT" w:hAnsi="Spectra BT"/>
                <w:color w:val="auto"/>
                <w:sz w:val="22"/>
                <w:szCs w:val="22"/>
              </w:rPr>
              <w:t>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 xml:space="preserve">Alt.= nulový var. </w:t>
            </w: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časť lokality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10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Vajka n/Ž.,</w:t>
            </w:r>
          </w:p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Marti-nová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obč. vybav.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1,2510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1,2510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0139002/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2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1,2510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</w:t>
            </w:r>
            <w:r>
              <w:rPr>
                <w:rFonts w:ascii="Spectra BT" w:hAnsi="Spectra BT"/>
                <w:color w:val="auto"/>
                <w:sz w:val="22"/>
                <w:szCs w:val="22"/>
              </w:rPr>
              <w:t>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VPS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11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Vajka n/Ž.,</w:t>
            </w:r>
          </w:p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Marti-nová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verejná zeleň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0,5075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0,5075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0139002/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2</w:t>
            </w:r>
          </w:p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0119002/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1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0,4856</w:t>
            </w:r>
          </w:p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0,0219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</w:t>
            </w:r>
            <w:r>
              <w:rPr>
                <w:rFonts w:ascii="Spectra BT" w:hAnsi="Spectra BT"/>
                <w:color w:val="auto"/>
                <w:sz w:val="22"/>
                <w:szCs w:val="22"/>
              </w:rPr>
              <w:t>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VPS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12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Vajka n/Ž.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2,4940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2,4940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0114062/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6</w:t>
            </w:r>
          </w:p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0139002/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2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1,9285</w:t>
            </w:r>
          </w:p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0,5655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</w:t>
            </w:r>
            <w:r>
              <w:rPr>
                <w:rFonts w:ascii="Spectra BT" w:hAnsi="Spectra BT"/>
                <w:color w:val="auto"/>
                <w:sz w:val="22"/>
                <w:szCs w:val="22"/>
              </w:rPr>
              <w:t>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 xml:space="preserve">Alt.= nulový var. </w:t>
            </w: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časť lokality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13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Marti-nová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5,</w:t>
            </w: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4</w:t>
            </w: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6</w:t>
            </w: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80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5,4</w:t>
            </w: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6</w:t>
            </w: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80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0139002/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2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5,4</w:t>
            </w: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6</w:t>
            </w: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80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FO, PO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</w:t>
            </w:r>
            <w:r>
              <w:rPr>
                <w:rFonts w:ascii="Spectra BT" w:hAnsi="Spectra BT"/>
                <w:color w:val="auto"/>
                <w:sz w:val="22"/>
                <w:szCs w:val="22"/>
              </w:rPr>
              <w:t>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Alt.= nulový var.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14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Marti-nová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5,3810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5,3810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0139002/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2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5,3810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FO, PO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</w:t>
            </w:r>
            <w:r>
              <w:rPr>
                <w:rFonts w:ascii="Spectra BT" w:hAnsi="Spectra BT"/>
                <w:color w:val="auto"/>
                <w:sz w:val="22"/>
                <w:szCs w:val="22"/>
              </w:rPr>
              <w:t>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Alt.= nulový var.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P1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Vajka n/Ž.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0,2917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0,2917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0147202/6</w:t>
            </w:r>
          </w:p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0144202/3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0,1689</w:t>
            </w:r>
          </w:p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0,1228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ZÚO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P2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Vajka n/Ž.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0,2718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0,2718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0144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02/3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  <w:t>0,2718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ZÚO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P3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Vajka n/Ž.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1,</w:t>
            </w: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8205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1,</w:t>
            </w: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8205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0019012/1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1,</w:t>
            </w: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8205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ZÚO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P4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Vajka n/Ž.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2,5490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2,5490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0024004/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5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2,5490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</w:t>
            </w:r>
            <w:r>
              <w:rPr>
                <w:rFonts w:ascii="Spectra BT" w:hAnsi="Spectra BT"/>
                <w:color w:val="auto"/>
                <w:sz w:val="22"/>
                <w:szCs w:val="22"/>
              </w:rPr>
              <w:t>I</w:t>
            </w:r>
            <w:r>
              <w:rPr>
                <w:rFonts w:ascii="Spectra BT" w:hAnsi="Spectra BT"/>
                <w:color w:val="auto"/>
                <w:sz w:val="22"/>
                <w:szCs w:val="22"/>
              </w:rPr>
              <w:t>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ZÚO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P5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Vajka n/Ž.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1,6662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1,6662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0024004/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5</w:t>
            </w:r>
          </w:p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0019012/1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1,3234</w:t>
            </w:r>
          </w:p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0,3386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ZÚO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P6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Vajka n/Ž.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2,5991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2,5991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0119002/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1</w:t>
            </w:r>
          </w:p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0019012/1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2,5</w:t>
            </w: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270</w:t>
            </w:r>
          </w:p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0,0721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ZÚO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P7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Marti-nová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2,561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2,561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0119002/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1</w:t>
            </w:r>
          </w:p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non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0024004/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none"/>
                <w:lang w:val="sk-SK" w:bidi="ar-SA"/>
              </w:rPr>
              <w:t>5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2,5277</w:t>
            </w:r>
          </w:p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0,0333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II.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ZÚO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P8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Marti-nová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bývanie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0,1807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0,1807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u w:val="single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0144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</w:t>
            </w: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u w:val="single"/>
                <w:lang w:val="sk-SK" w:bidi="ar-SA"/>
              </w:rPr>
              <w:t>02/3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Times New Roman" w:cs="Arial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  <w:t>0,1807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u w:val="none"/>
                <w:lang w:val="sk-SK" w:eastAsia="zh-CN" w:bidi="ar-SA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Webdings" w:cs="Webdings"/>
                <w:color w:val="auto"/>
                <w:kern w:val="0"/>
                <w:sz w:val="22"/>
                <w:szCs w:val="22"/>
                <w:lang w:val="sk-SK" w:eastAsia="zh-CN" w:bidi="ar-SA"/>
              </w:rPr>
            </w:pPr>
            <w:r>
              <w:rPr>
                <w:rFonts w:eastAsia="Webdings" w:cs="Webdings" w:ascii="Spectra BT" w:hAnsi="Spectra BT"/>
                <w:color w:val="auto"/>
                <w:kern w:val="0"/>
                <w:sz w:val="22"/>
                <w:szCs w:val="22"/>
                <w:lang w:val="sk-SK" w:eastAsia="zh-CN" w:bidi="ar-SA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 w:eastAsia="Times New Roman" w:cs="Arial"/>
                <w:color w:val="auto"/>
                <w:sz w:val="22"/>
                <w:szCs w:val="22"/>
                <w:lang w:val="sk-SK" w:bidi="ar-SA"/>
              </w:rPr>
            </w:pPr>
            <w:r>
              <w:rPr>
                <w:rFonts w:eastAsia="Times New Roman" w:cs="Arial" w:ascii="Spectra BT" w:hAnsi="Spectra BT"/>
                <w:color w:val="auto"/>
                <w:sz w:val="22"/>
                <w:szCs w:val="22"/>
                <w:lang w:val="sk-SK" w:bidi="ar-SA"/>
              </w:rPr>
              <w:t>FO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I..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lotextu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  <w:t>ZÚO</w:t>
            </w:r>
          </w:p>
        </w:tc>
      </w:tr>
      <w:tr>
        <w:trPr/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79" w:after="0"/>
              <w:ind w:left="0" w:right="0" w:hanging="0"/>
              <w:jc w:val="center"/>
              <w:rPr>
                <w:rFonts w:ascii="Spectra BT" w:hAnsi="Spectra BT" w:eastAsia="Webdings" w:cs="Sylfaen"/>
                <w:b/>
                <w:b/>
                <w:color w:val="auto"/>
                <w:sz w:val="22"/>
                <w:szCs w:val="22"/>
              </w:rPr>
            </w:pPr>
            <w:r>
              <w:rPr>
                <w:rFonts w:eastAsia="Webdings" w:cs="Sylfaen" w:ascii="Spectra BT" w:hAnsi="Spectra BT"/>
                <w:b/>
                <w:color w:val="auto"/>
                <w:sz w:val="22"/>
                <w:szCs w:val="22"/>
              </w:rPr>
              <w:t>Spolu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79" w:after="0"/>
              <w:ind w:left="0" w:right="0" w:hanging="0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79" w:after="0"/>
              <w:ind w:left="0" w:right="0" w:hanging="0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79" w:after="0"/>
              <w:ind w:left="0" w:right="0" w:hanging="0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79" w:after="0"/>
              <w:ind w:left="0" w:right="0" w:hanging="0"/>
              <w:rPr>
                <w:rFonts w:ascii="Spectra BT" w:hAnsi="Spectra BT"/>
                <w:b/>
                <w:b/>
                <w:bCs/>
                <w:color w:val="auto"/>
                <w:sz w:val="22"/>
                <w:szCs w:val="22"/>
              </w:rPr>
            </w:pPr>
            <w:r>
              <w:fldChar w:fldCharType="begin"/>
            </w:r>
            <w:r>
              <w:rPr>
                <w:sz w:val="22"/>
                <w:b/>
                <w:szCs w:val="22"/>
                <w:bCs/>
                <w:rFonts w:ascii="Spectra BT" w:hAnsi="Spectra BT"/>
                <w:color w:val="auto"/>
              </w:rPr>
              <w:instrText> = E2:E23</w:instrText>
            </w:r>
            <w:r>
              <w:rPr>
                <w:sz w:val="22"/>
                <w:b/>
                <w:szCs w:val="22"/>
                <w:bCs/>
                <w:rFonts w:ascii="Spectra BT" w:hAnsi="Spectra BT"/>
                <w:color w:val="auto"/>
              </w:rPr>
              <w:fldChar w:fldCharType="separate"/>
            </w:r>
            <w:r>
              <w:rPr>
                <w:rFonts w:ascii="Spectra BT" w:hAnsi="Spectra BT"/>
                <w:b/>
                <w:bCs/>
                <w:color w:val="auto"/>
                <w:sz w:val="22"/>
                <w:szCs w:val="22"/>
              </w:rPr>
              <w:t>39,1784</w:t>
            </w:r>
            <w:r>
              <w:rPr>
                <w:sz w:val="22"/>
                <w:b/>
                <w:szCs w:val="22"/>
                <w:bCs/>
                <w:rFonts w:ascii="Spectra BT" w:hAnsi="Spectra BT"/>
                <w:color w:val="auto"/>
              </w:rPr>
              <w:fldChar w:fldCharType="end"/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79" w:after="0"/>
              <w:ind w:left="0" w:right="0" w:hanging="0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79" w:after="0"/>
              <w:ind w:left="0" w:right="0" w:hanging="0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79" w:after="0"/>
              <w:ind w:left="0" w:right="0" w:hanging="0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79" w:after="0"/>
              <w:ind w:left="0" w:right="0" w:hanging="0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79" w:after="0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79" w:after="0"/>
              <w:ind w:left="0" w:right="0" w:hanging="0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79" w:after="0"/>
              <w:ind w:left="0" w:right="0" w:hanging="0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79" w:after="0"/>
              <w:ind w:left="0" w:right="0" w:hanging="0"/>
              <w:rPr>
                <w:rFonts w:ascii="Spectra BT" w:hAnsi="Spectra BT"/>
                <w:color w:val="auto"/>
                <w:sz w:val="22"/>
                <w:szCs w:val="22"/>
              </w:rPr>
            </w:pPr>
            <w:r>
              <w:rPr>
                <w:rFonts w:ascii="Spectra BT" w:hAnsi="Spectra BT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57" w:after="0"/>
        <w:ind w:left="0" w:right="0" w:hanging="0"/>
        <w:rPr>
          <w:rFonts w:ascii="Spectra BT" w:hAnsi="Spectra BT" w:eastAsia="Webdings" w:cs="Sylfaen"/>
          <w:color w:val="auto"/>
          <w:sz w:val="21"/>
          <w:szCs w:val="21"/>
          <w:lang w:val="sk-SK" w:eastAsia="zh-CN" w:bidi="ar-SA"/>
        </w:rPr>
      </w:pPr>
      <w:r>
        <w:rPr>
          <w:rFonts w:eastAsia="Webdings" w:cs="Sylfaen" w:ascii="Spectra BT" w:hAnsi="Spectra BT"/>
          <w:color w:val="auto"/>
          <w:sz w:val="21"/>
          <w:szCs w:val="21"/>
          <w:lang w:val="sk-SK" w:eastAsia="zh-CN" w:bidi="ar-SA"/>
        </w:rPr>
        <w:t>Vysvetlivky: ZÚO = zastavané územie obce, VPS = verejnoprospešná stavba</w:t>
      </w:r>
    </w:p>
    <w:sectPr>
      <w:headerReference w:type="default" r:id="rId5"/>
      <w:footerReference w:type="default" r:id="rId6"/>
      <w:type w:val="nextPage"/>
      <w:pgSz w:orient="landscape" w:w="16838" w:h="11906"/>
      <w:pgMar w:left="1418" w:right="1418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pectra BT">
    <w:charset w:val="ee"/>
    <w:family w:val="roman"/>
    <w:pitch w:val="variable"/>
  </w:font>
  <w:font w:name="Swis721 Ex BT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Buckwheat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ndara">
    <w:charset w:val="ee"/>
    <w:family w:val="roman"/>
    <w:pitch w:val="variable"/>
  </w:font>
  <w:font w:name="Antique Olive">
    <w:charset w:val="ee"/>
    <w:family w:val="roman"/>
    <w:pitch w:val="variable"/>
  </w:font>
  <w:font w:name="Antique Olive">
    <w:charset w:val="ee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6262370</wp:posOffset>
              </wp:positionH>
              <wp:positionV relativeFrom="paragraph">
                <wp:posOffset>635</wp:posOffset>
              </wp:positionV>
              <wp:extent cx="347345" cy="127000"/>
              <wp:effectExtent l="0" t="0" r="0" b="0"/>
              <wp:wrapSquare wrapText="largest"/>
              <wp:docPr id="2" name="Ráme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6680" cy="12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ta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1" fillcolor="white" stroked="f" style="position:absolute;margin-left:493.1pt;margin-top:0.05pt;width:27.25pt;height:9.9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Pta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rPr>
        <w:rFonts w:ascii="Buckwheat" w:hAnsi="Buckwheat" w:cs="Buckwheat"/>
        <w:lang w:val="sk-SK"/>
      </w:rPr>
    </w:pPr>
    <w:r>
      <w:rPr>
        <w:rFonts w:cs="Buckwheat" w:ascii="Buckwheat" w:hAnsi="Buckwheat"/>
        <w:lang w:val="sk-SK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rPr>
        <w:rFonts w:ascii="Buckwheat" w:hAnsi="Buckwheat" w:eastAsia="Buckwheat" w:cs="Buckwheat"/>
        <w:lang w:val="sk-SK"/>
      </w:rPr>
    </w:pPr>
    <w:r>
      <w:rPr>
        <w:rFonts w:eastAsia="Buckwheat" w:cs="Buckwheat" w:ascii="Buckwheat" w:hAnsi="Buckwheat"/>
        <w:lang w:val="sk-SK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Nadpis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40"/>
        </w:tabs>
        <w:ind w:left="697" w:hanging="34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40"/>
        </w:tabs>
        <w:ind w:left="697" w:hanging="34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adpis"/>
    <w:next w:val="Telotex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dpis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48" w:space="12" w:color="999999"/>
        <w:bottom w:val="single" w:sz="48" w:space="12" w:color="999999"/>
      </w:pBdr>
      <w:ind w:left="3969" w:right="0" w:hanging="0"/>
      <w:jc w:val="center"/>
      <w:outlineLvl w:val="2"/>
    </w:pPr>
    <w:rPr>
      <w:rFonts w:ascii="Spectra BT" w:hAnsi="Spectra BT" w:cs="Spectra BT"/>
      <w:b/>
      <w:shadow/>
      <w:spacing w:val="100"/>
      <w:sz w:val="64"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i/>
      <w:iCs/>
    </w:rPr>
  </w:style>
  <w:style w:type="paragraph" w:styleId="Nadpis6">
    <w:name w:val="Heading 6"/>
    <w:basedOn w:val="Normal"/>
    <w:next w:val="Normal"/>
    <w:qFormat/>
    <w:pPr>
      <w:keepNext w:val="true"/>
      <w:numPr>
        <w:ilvl w:val="5"/>
        <w:numId w:val="1"/>
      </w:numPr>
      <w:ind w:left="1134" w:right="0" w:hanging="0"/>
      <w:jc w:val="center"/>
      <w:outlineLvl w:val="5"/>
    </w:pPr>
    <w:rPr>
      <w:rFonts w:ascii="Swis721 Ex BT" w:hAnsi="Swis721 Ex BT" w:cs="Swis721 Ex BT"/>
      <w:b/>
      <w:color w:val="808080"/>
      <w:sz w:val="9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  <w:color w:val="auto"/>
    </w:rPr>
  </w:style>
  <w:style w:type="character" w:styleId="WW8Num3z0">
    <w:name w:val="WW8Num3z0"/>
    <w:qFormat/>
    <w:rPr>
      <w:rFonts w:ascii="Symbol" w:hAnsi="Symbol" w:cs="OpenSymbol;Arial Unicode MS"/>
      <w:lang w:val="sk-SK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Predvolenpsmoodseku">
    <w:name w:val="Predvolené písmo odseku"/>
    <w:qFormat/>
    <w:rPr/>
  </w:style>
  <w:style w:type="character" w:styleId="OdstproChar">
    <w:name w:val="odstpro Char"/>
    <w:basedOn w:val="Predvolenpsmoodseku"/>
    <w:qFormat/>
    <w:rPr>
      <w:rFonts w:ascii="Spectra BT" w:hAnsi="Spectra BT" w:cs="Spectra BT"/>
      <w:sz w:val="22"/>
      <w:szCs w:val="22"/>
      <w:lang w:val="sk-SK" w:bidi="ar-SA"/>
    </w:rPr>
  </w:style>
  <w:style w:type="character" w:styleId="Internetovodkaz">
    <w:name w:val="Internetový odkaz"/>
    <w:basedOn w:val="Predvolenpsmoodseku"/>
    <w:rPr>
      <w:color w:val="0000FF"/>
      <w:u w:val="single"/>
    </w:rPr>
  </w:style>
  <w:style w:type="character" w:styleId="Slostrany">
    <w:name w:val="Číslo strany"/>
    <w:basedOn w:val="Predvolenpsmoodseku"/>
    <w:rPr>
      <w:rFonts w:ascii="Buckwheat" w:hAnsi="Buckwheat" w:cs="Buckwheat"/>
      <w:b/>
      <w:bCs/>
      <w:sz w:val="24"/>
      <w:szCs w:val="24"/>
    </w:rPr>
  </w:style>
  <w:style w:type="character" w:styleId="Odrky">
    <w:name w:val="Odrážky"/>
    <w:qFormat/>
    <w:rPr>
      <w:rFonts w:ascii="OpenSymbol;Arial Unicode MS" w:hAnsi="OpenSymbol;Arial Unicode MS" w:eastAsia="OpenSymbol;Arial Unicode MS" w:cs="OpenSymbol;Arial Unicode MS"/>
    </w:rPr>
  </w:style>
  <w:style w:type="character" w:styleId="WW8Num20z0">
    <w:name w:val="WW8Num20z0"/>
    <w:qFormat/>
    <w:rPr>
      <w:rFonts w:ascii="Symbol" w:hAnsi="Symbol" w:cs="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lotextu">
    <w:name w:val="Body Text"/>
    <w:basedOn w:val="Normal"/>
    <w:pPr>
      <w:widowControl w:val="false"/>
      <w:jc w:val="both"/>
    </w:pPr>
    <w:rPr>
      <w:rFonts w:ascii="Arial" w:hAnsi="Arial" w:cs="Arial"/>
      <w:sz w:val="22"/>
      <w:szCs w:val="22"/>
    </w:rPr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Odstpro">
    <w:name w:val="odstpro"/>
    <w:basedOn w:val="Normal"/>
    <w:qFormat/>
    <w:pPr>
      <w:spacing w:lineRule="auto" w:line="300" w:before="113" w:after="0"/>
      <w:jc w:val="both"/>
    </w:pPr>
    <w:rPr>
      <w:rFonts w:ascii="Spectra BT" w:hAnsi="Spectra BT" w:cs="Spectra BT"/>
      <w:sz w:val="22"/>
      <w:szCs w:val="22"/>
    </w:rPr>
  </w:style>
  <w:style w:type="paragraph" w:styleId="Nadupn1">
    <w:name w:val="nadupn1"/>
    <w:basedOn w:val="Normal"/>
    <w:qFormat/>
    <w:pPr>
      <w:keepNext w:val="true"/>
      <w:pBdr>
        <w:bottom w:val="single" w:sz="12" w:space="1" w:color="FFFFFF"/>
      </w:pBdr>
      <w:spacing w:lineRule="auto" w:line="300" w:before="120" w:after="0"/>
      <w:ind w:left="454" w:right="0" w:hanging="454"/>
    </w:pPr>
    <w:rPr>
      <w:rFonts w:ascii="Buckwheat" w:hAnsi="Buckwheat" w:cs="Buckwheat"/>
      <w:b/>
      <w:bCs/>
      <w:shadow w:val="false"/>
      <w:color w:val="003300"/>
      <w:sz w:val="26"/>
      <w:szCs w:val="26"/>
    </w:rPr>
  </w:style>
  <w:style w:type="paragraph" w:styleId="Obrnadpro">
    <w:name w:val="obrnadpro"/>
    <w:basedOn w:val="Odstpro"/>
    <w:qFormat/>
    <w:pPr>
      <w:keepNext w:val="true"/>
      <w:spacing w:before="240" w:after="100"/>
      <w:ind w:left="397" w:right="0" w:hanging="0"/>
    </w:pPr>
    <w:rPr>
      <w:b/>
      <w:bCs/>
    </w:rPr>
  </w:style>
  <w:style w:type="paragraph" w:styleId="Tabulka">
    <w:name w:val="tabulka"/>
    <w:qFormat/>
    <w:pPr>
      <w:widowControl/>
      <w:suppressAutoHyphens w:val="true"/>
      <w:kinsoku w:val="true"/>
      <w:overflowPunct w:val="true"/>
      <w:autoSpaceDE w:val="true"/>
      <w:bidi w:val="0"/>
      <w:spacing w:before="80" w:after="0"/>
      <w:jc w:val="left"/>
      <w:textAlignment w:val="baseline"/>
    </w:pPr>
    <w:rPr>
      <w:rFonts w:ascii="Buckwheat" w:hAnsi="Buckwheat" w:eastAsia="Times New Roman" w:cs="Buckwheat"/>
      <w:color w:val="000000"/>
      <w:kern w:val="0"/>
      <w:sz w:val="20"/>
      <w:szCs w:val="20"/>
      <w:lang w:val="sk-SK" w:eastAsia="zh-CN" w:bidi="ar-SA"/>
    </w:rPr>
  </w:style>
  <w:style w:type="paragraph" w:styleId="Hlavikaapta">
    <w:name w:val="Hlavička a pät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drpro1">
    <w:name w:val="odrpro1"/>
    <w:basedOn w:val="Odstpro"/>
    <w:qFormat/>
    <w:pPr>
      <w:tabs>
        <w:tab w:val="clear" w:pos="708"/>
        <w:tab w:val="left" w:pos="-3" w:leader="none"/>
      </w:tabs>
      <w:spacing w:before="91" w:after="0"/>
      <w:ind w:left="717" w:right="0" w:hanging="360"/>
    </w:pPr>
    <w:rPr/>
  </w:style>
  <w:style w:type="paragraph" w:styleId="Nadreg">
    <w:name w:val="nadreg"/>
    <w:basedOn w:val="Odstpro"/>
    <w:qFormat/>
    <w:pPr>
      <w:keepNext w:val="true"/>
      <w:spacing w:before="240" w:after="0"/>
      <w:ind w:left="0" w:right="0" w:hanging="0"/>
    </w:pPr>
    <w:rPr>
      <w:b/>
      <w:bCs/>
    </w:rPr>
  </w:style>
  <w:style w:type="paragraph" w:styleId="Predvolenpsmoodseku1">
    <w:name w:val="Predvolené písmo odseku1"/>
    <w:basedOn w:val="Normal"/>
    <w:qFormat/>
    <w:pPr>
      <w:overflowPunct w:val="false"/>
      <w:spacing w:lineRule="exact" w:line="240" w:before="0" w:after="160"/>
      <w:textAlignment w:val="auto"/>
    </w:pPr>
    <w:rPr>
      <w:rFonts w:ascii="Tahoma" w:hAnsi="Tahoma" w:cs="Tahoma"/>
      <w:sz w:val="20"/>
      <w:szCs w:val="20"/>
      <w:lang w:val="en-US"/>
    </w:rPr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overflowPunct w:val="false"/>
      <w:textAlignment w:val="auto"/>
    </w:pPr>
    <w:rPr>
      <w:sz w:val="20"/>
      <w:szCs w:val="20"/>
      <w:lang w:val="cs-CZ"/>
    </w:rPr>
  </w:style>
  <w:style w:type="paragraph" w:styleId="Odstavec">
    <w:name w:val="odstavec"/>
    <w:basedOn w:val="Normal"/>
    <w:qFormat/>
    <w:pPr>
      <w:spacing w:before="140" w:after="0"/>
    </w:pPr>
    <w:rPr>
      <w:rFonts w:ascii="Arial" w:hAnsi="Arial" w:cs="Arial"/>
      <w:color w:val="000000"/>
      <w:sz w:val="20"/>
      <w:szCs w:val="20"/>
    </w:rPr>
  </w:style>
  <w:style w:type="paragraph" w:styleId="Zarkazkladnhotextu3">
    <w:name w:val="Zarážka základného textu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Obsahtabuky">
    <w:name w:val="Obsah tabuľky"/>
    <w:basedOn w:val="Normal"/>
    <w:qFormat/>
    <w:pPr>
      <w:suppressLineNumbers/>
    </w:pPr>
    <w:rPr/>
  </w:style>
  <w:style w:type="paragraph" w:styleId="Nadpistabuky">
    <w:name w:val="Nadpis tabuľky"/>
    <w:basedOn w:val="Obsahtabuky"/>
    <w:qFormat/>
    <w:pPr>
      <w:suppressLineNumbers/>
      <w:jc w:val="center"/>
    </w:pPr>
    <w:rPr>
      <w:b/>
      <w:bCs/>
    </w:rPr>
  </w:style>
  <w:style w:type="paragraph" w:styleId="Obsahrmca">
    <w:name w:val="Obsah rámca"/>
    <w:basedOn w:val="Normal"/>
    <w:qFormat/>
    <w:pPr/>
    <w:rPr/>
  </w:style>
  <w:style w:type="paragraph" w:styleId="Tabnadpro">
    <w:name w:val="tabnadpro"/>
    <w:basedOn w:val="Obrnadpro"/>
    <w:qFormat/>
    <w:pPr/>
    <w:rPr>
      <w:rFonts w:ascii="Buckwheat" w:hAnsi="Buckwheat" w:cs="Buckwheat"/>
      <w:b/>
      <w:sz w:val="20"/>
    </w:rPr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Application>LibreOffice/7.0.5.2$Windows_X86_64 LibreOffice_project/64390860c6cd0aca4beafafcfd84613dd9dfb63a</Application>
  <AppVersion>15.0000</AppVersion>
  <Pages>13</Pages>
  <Words>2560</Words>
  <Characters>14317</Characters>
  <CharactersWithSpaces>16467</CharactersWithSpaces>
  <Paragraphs>467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2011-05-15T11:27:00Z</dcterms:created>
  <dc:creator>Coplak</dc:creator>
  <dc:description/>
  <dc:language>sk-SK</dc:language>
  <cp:lastModifiedBy/>
  <cp:lastPrinted>2022-06-06T19:59:39Z</cp:lastPrinted>
  <dcterms:modified xsi:type="dcterms:W3CDTF">2025-02-20T12:40:55Z</dcterms:modified>
  <cp:revision>254</cp:revision>
  <dc:subject/>
  <dc:title>ÚZEMNÝ PLÁN MESTA KOLÁROVO</dc:title>
</cp:coreProperties>
</file>